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41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5534"/>
        <w:gridCol w:w="1494"/>
      </w:tblGrid>
      <w:tr w:rsidR="00855E09">
        <w:trPr>
          <w:cantSplit/>
          <w:trHeight w:val="1604"/>
        </w:trPr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55E09" w:rsidRDefault="00855E0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Arial Narrow" w:hAnsi="Arial Narrow" w:cs="Arial Narrow"/>
                <w:b/>
                <w:bCs/>
                <w:sz w:val="78"/>
                <w:szCs w:val="48"/>
              </w:rPr>
            </w:pPr>
            <w:bookmarkStart w:id="0" w:name="_GoBack"/>
            <w:bookmarkEnd w:id="0"/>
            <w:r>
              <w:softHyphen/>
            </w:r>
            <w:r w:rsidR="00544FA0">
              <w:rPr>
                <w:noProof/>
                <w:lang w:eastAsia="pl-PL"/>
              </w:rPr>
              <w:drawing>
                <wp:inline distT="0" distB="0" distL="0" distR="0">
                  <wp:extent cx="266700" cy="933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8" t="-919" r="1306" b="-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CCCCCC"/>
          </w:tcPr>
          <w:p w:rsidR="00855E09" w:rsidRDefault="00855E09">
            <w:pPr>
              <w:spacing w:before="120" w:after="0"/>
              <w:ind w:firstLine="0"/>
              <w:jc w:val="center"/>
            </w:pPr>
            <w:r>
              <w:rPr>
                <w:rFonts w:ascii="Arial Narrow" w:hAnsi="Arial Narrow" w:cs="Arial Narrow"/>
                <w:b/>
                <w:bCs/>
                <w:sz w:val="78"/>
                <w:szCs w:val="48"/>
              </w:rPr>
              <w:t>MODLITWA</w:t>
            </w:r>
          </w:p>
          <w:p w:rsidR="00855E09" w:rsidRDefault="00855E09">
            <w:pPr>
              <w:spacing w:after="120"/>
              <w:ind w:firstLine="34"/>
              <w:jc w:val="center"/>
            </w:pPr>
            <w:r>
              <w:rPr>
                <w:b/>
                <w:sz w:val="43"/>
              </w:rPr>
              <w:t>w pierwszą sobotę miesiąca</w:t>
            </w:r>
          </w:p>
          <w:p w:rsidR="00855E09" w:rsidRDefault="004D0AB7" w:rsidP="004D0AB7">
            <w:pPr>
              <w:ind w:firstLine="32"/>
              <w:jc w:val="center"/>
            </w:pPr>
            <w:r>
              <w:rPr>
                <w:sz w:val="20"/>
              </w:rPr>
              <w:t>luty</w:t>
            </w:r>
            <w:r w:rsidR="00855E09">
              <w:rPr>
                <w:sz w:val="20"/>
              </w:rPr>
              <w:t xml:space="preserve"> 202</w:t>
            </w:r>
            <w:r w:rsidR="000609D1">
              <w:rPr>
                <w:sz w:val="20"/>
              </w:rPr>
              <w:t>1</w:t>
            </w:r>
            <w:r w:rsidR="00855E09">
              <w:rPr>
                <w:sz w:val="20"/>
              </w:rPr>
              <w:t xml:space="preserve">                              www.zr.diecezja.pl</w:t>
            </w:r>
          </w:p>
        </w:tc>
        <w:tc>
          <w:tcPr>
            <w:tcW w:w="1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5E09" w:rsidRDefault="00EB009B" w:rsidP="004D0AB7">
            <w:pPr>
              <w:spacing w:before="360" w:after="0"/>
              <w:ind w:firstLine="0"/>
              <w:jc w:val="center"/>
            </w:pPr>
            <w:r>
              <w:rPr>
                <w:rFonts w:ascii="Arial Narrow" w:hAnsi="Arial Narrow" w:cs="Arial Narrow"/>
                <w:sz w:val="96"/>
                <w:szCs w:val="96"/>
              </w:rPr>
              <w:t>5</w:t>
            </w:r>
            <w:r w:rsidR="004D0AB7">
              <w:rPr>
                <w:rFonts w:ascii="Arial Narrow" w:hAnsi="Arial Narrow" w:cs="Arial Narrow"/>
                <w:sz w:val="96"/>
                <w:szCs w:val="96"/>
              </w:rPr>
              <w:t>3</w:t>
            </w:r>
          </w:p>
        </w:tc>
      </w:tr>
    </w:tbl>
    <w:p w:rsidR="00855E09" w:rsidRDefault="00855E09">
      <w:pPr>
        <w:pStyle w:val="Nagwek1"/>
      </w:pPr>
      <w:r>
        <w:t>Myśli do homilii</w:t>
      </w:r>
    </w:p>
    <w:p w:rsidR="00B1496A" w:rsidRDefault="00544FA0" w:rsidP="00421F28">
      <w:pPr>
        <w:spacing w:after="0"/>
        <w:ind w:firstLine="0"/>
      </w:pPr>
      <w:r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2063750</wp:posOffset>
            </wp:positionV>
            <wp:extent cx="516890" cy="5156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62" t="-2962" r="-2962" b="-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5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09">
        <w:t xml:space="preserve">1. </w:t>
      </w:r>
      <w:r w:rsidR="00EE26D0">
        <w:t>„</w:t>
      </w:r>
      <w:r w:rsidR="000609D1">
        <w:t>P</w:t>
      </w:r>
      <w:r w:rsidR="0052410B">
        <w:t>rzez Jezusa składajmy Bogu ofiarę pochwalną nieustannie, to jest owoc warg, które wyznają Jego imię” – Te słowa rozpoczynają dzisiejsze pierwsze czytanie. Autor listu do Hebrajczyków dokon</w:t>
      </w:r>
      <w:r w:rsidR="0052410B">
        <w:t>u</w:t>
      </w:r>
      <w:r w:rsidR="0052410B">
        <w:t>je podsumowania myśli, które zawarł w swoim liście. Czytaliśmy ten list przez cztery tygodnie. Rozważa</w:t>
      </w:r>
      <w:r w:rsidR="00B1496A">
        <w:t>l</w:t>
      </w:r>
      <w:r w:rsidR="00B1496A">
        <w:t>i</w:t>
      </w:r>
      <w:r w:rsidR="00B1496A">
        <w:t>śmy prawdę o Chrystusie, który jest Najwyższym Kapłanem. Złożył Bogu nieskalaną ofiarę, oddał swoje życie za grzeszników, stał się pośrednikiem Nowego Przymierza, wszedł „do samego nieba, aby teraz wstawiać się za n</w:t>
      </w:r>
      <w:r w:rsidR="00B1496A">
        <w:t>a</w:t>
      </w:r>
      <w:r w:rsidR="00B1496A">
        <w:t>mi przed obliczem Boga”.</w:t>
      </w:r>
    </w:p>
    <w:p w:rsidR="00596EF6" w:rsidRDefault="002F12B2" w:rsidP="002F12B2">
      <w:r>
        <w:t>Rozważając prawdę o ofierze Chrystusa, uczyliśmy się składać naszą c</w:t>
      </w:r>
      <w:r>
        <w:t>o</w:t>
      </w:r>
      <w:r>
        <w:t xml:space="preserve">dzienną ofiarę. Jest nią znoszenie ciężarów i trudności, jakie spotykamy, trud pracy i wytrwałe dążenie do świętości, jakie podejmujemy. Ofiara </w:t>
      </w:r>
      <w:r w:rsidR="00596EF6">
        <w:t>staje się</w:t>
      </w:r>
      <w:r>
        <w:t xml:space="preserve"> c</w:t>
      </w:r>
      <w:r>
        <w:t>a</w:t>
      </w:r>
      <w:r>
        <w:t xml:space="preserve">łopalna, gdy człowiek oddaje się bez reszty, gdy darem staje się jego życie. </w:t>
      </w:r>
      <w:r w:rsidR="00596EF6">
        <w:t>Niezliczone są akty miłości i oddania, spełniane w zwyczajnym życiu, ale ich dopełnieniem będzie ostatni akt, w którym oddamy się Bogu na zawsze.</w:t>
      </w:r>
    </w:p>
    <w:p w:rsidR="00596EF6" w:rsidRDefault="002F12B2" w:rsidP="00421F28">
      <w:pPr>
        <w:spacing w:after="0"/>
      </w:pPr>
      <w:r>
        <w:t xml:space="preserve">2. Dzisiejszy fragment listu do Hebrajczyków </w:t>
      </w:r>
      <w:r w:rsidR="00596EF6">
        <w:t>nazywa ofiarą</w:t>
      </w:r>
      <w:r>
        <w:t xml:space="preserve"> „owoc warg, które w</w:t>
      </w:r>
      <w:r>
        <w:t>y</w:t>
      </w:r>
      <w:r>
        <w:t xml:space="preserve">znają imię Boga”. To ofiara pochwalna, to uwielbianie Boga w Jego nieskończonej doskonałości i w Jego wspaniałych dziełach. </w:t>
      </w:r>
      <w:r w:rsidR="00596EF6">
        <w:t>Jesteśmy zach</w:t>
      </w:r>
      <w:r w:rsidR="00596EF6">
        <w:t>ę</w:t>
      </w:r>
      <w:r w:rsidR="00596EF6">
        <w:t xml:space="preserve">ceni, aby składać tę ofiarę. Niech wznosi się ona nieustannie z ziemi ku niebu. Niech będzie miła Ojcu, od którego wszystko otrzymaliśmy. </w:t>
      </w:r>
    </w:p>
    <w:p w:rsidR="00596EF6" w:rsidRDefault="00596EF6" w:rsidP="00596EF6">
      <w:r>
        <w:t>Naszą „ofiarą warg, które wyznają imię Boga” jest także różaniec. Wielu składa tę ofiarę codziennie. Dzisiejsze słowo Boże pomaga nam przeżywać ją z jeszcze większą świadomością, że spełniamy akt kapłański. Od chwili chrztu jesteśmy uczestnikami kapłaństwa Chrystusowego i w zjednoczeniu z Na</w:t>
      </w:r>
      <w:r>
        <w:t>j</w:t>
      </w:r>
      <w:r>
        <w:t>wyższym Kapłanem składamy Ojcu niebieskiemu ofiarę uwielbienia. To uwielbienie rodzi się w sercu każdego, kto z wiarą rozważa różańcowe taje</w:t>
      </w:r>
      <w:r>
        <w:t>m</w:t>
      </w:r>
      <w:r>
        <w:t>nice.</w:t>
      </w:r>
    </w:p>
    <w:p w:rsidR="00421F28" w:rsidRDefault="00266D00" w:rsidP="00266D00">
      <w:r>
        <w:t xml:space="preserve">3. </w:t>
      </w:r>
      <w:r w:rsidR="00421F28">
        <w:t>Matka Najświętsza wymieniła różaniec, jako jeden z aktów, przez które możemy wynagradzać Jej Niepokalanemu Sercu za niewdzięczność, oboję</w:t>
      </w:r>
      <w:r w:rsidR="00421F28">
        <w:t>t</w:t>
      </w:r>
      <w:r w:rsidR="00421F28">
        <w:t>ność i wzgardę, jakich doznaje od wielu ludzi. Odmawiajmy różaniec coraz piękniej. Niech to będzie ofiara, którą składamy Bogu jako „owoc warg”.</w:t>
      </w:r>
    </w:p>
    <w:p w:rsidR="00855E09" w:rsidRDefault="00855E09" w:rsidP="00E0182C">
      <w:pPr>
        <w:pStyle w:val="Nagwek2"/>
      </w:pPr>
      <w:r>
        <w:lastRenderedPageBreak/>
        <w:t>Medytacja o tajemnicach różańca</w:t>
      </w:r>
    </w:p>
    <w:p w:rsidR="00855E09" w:rsidRDefault="00544FA0">
      <w:pPr>
        <w:ind w:firstLine="0"/>
      </w:pPr>
      <w:r>
        <w:rPr>
          <w:noProof/>
          <w:szCs w:val="23"/>
          <w:lang w:eastAsia="pl-PL"/>
        </w:rPr>
        <w:drawing>
          <wp:anchor distT="0" distB="17780" distL="114935" distR="114935" simplePos="0" relativeHeight="25165772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87630</wp:posOffset>
            </wp:positionV>
            <wp:extent cx="671830" cy="6731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86" t="-2286" r="-2286" b="-2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09">
        <w:rPr>
          <w:szCs w:val="23"/>
        </w:rPr>
        <w:t>W: (Modlitwa Anioła z Fatimy): O Boże mój, wierzę w Ciebie, uwielbiam Ciebie, ufam Tobie i miłuję Ciebie. Proszę Cię o przebaczenie dla tych, którzy w Ciebie nie wierzą, Ciebie nie uwielbiają, nie ufają Tobie i Ciebie nie miłują. Trójco Przena</w:t>
      </w:r>
      <w:r w:rsidR="00855E09">
        <w:rPr>
          <w:szCs w:val="23"/>
        </w:rPr>
        <w:t>j</w:t>
      </w:r>
      <w:r w:rsidR="00855E09">
        <w:rPr>
          <w:szCs w:val="23"/>
        </w:rPr>
        <w:t>świętsza, Ojcze, Synu i Duchu Święty. W najgłębszej pokorze cześć Ci oddaję i ofiaruję Tobie Przenajdroższe Ciało i Krew, Duszę i Bóstwo Jezusa Chryst</w:t>
      </w:r>
      <w:r w:rsidR="00855E09">
        <w:rPr>
          <w:szCs w:val="23"/>
        </w:rPr>
        <w:t>u</w:t>
      </w:r>
      <w:r w:rsidR="00855E09">
        <w:rPr>
          <w:szCs w:val="23"/>
        </w:rPr>
        <w:t>sa, obecnego na ołtarzach całego świata jako wynagrodzenie za zniewagi, świętokradztwa i obojętność, którymi jest On obrażany. Przez ni</w:t>
      </w:r>
      <w:r w:rsidR="00855E09">
        <w:rPr>
          <w:szCs w:val="23"/>
        </w:rPr>
        <w:t>e</w:t>
      </w:r>
      <w:r w:rsidR="00855E09">
        <w:rPr>
          <w:szCs w:val="23"/>
        </w:rPr>
        <w:t>skończone zasługi Jego Na</w:t>
      </w:r>
      <w:r w:rsidR="00855E09">
        <w:rPr>
          <w:szCs w:val="23"/>
        </w:rPr>
        <w:t>j</w:t>
      </w:r>
      <w:r w:rsidR="00855E09">
        <w:rPr>
          <w:szCs w:val="23"/>
        </w:rPr>
        <w:t>świętszego Serca i przez przyczynę Niepokalanego Serca M</w:t>
      </w:r>
      <w:r w:rsidR="00855E09">
        <w:rPr>
          <w:szCs w:val="23"/>
        </w:rPr>
        <w:t>a</w:t>
      </w:r>
      <w:r w:rsidR="00855E09">
        <w:rPr>
          <w:szCs w:val="23"/>
        </w:rPr>
        <w:t>ryi, proszę Cię o łaskę nawrócenia biednych grzeszników.</w:t>
      </w:r>
    </w:p>
    <w:p w:rsidR="00F3138A" w:rsidRDefault="00855E09" w:rsidP="000D2222">
      <w:r>
        <w:rPr>
          <w:color w:val="auto"/>
          <w:kern w:val="0"/>
          <w:szCs w:val="23"/>
          <w:lang w:eastAsia="pl-PL"/>
        </w:rPr>
        <w:t xml:space="preserve">P: </w:t>
      </w:r>
      <w:r w:rsidR="00421F28">
        <w:rPr>
          <w:color w:val="auto"/>
          <w:kern w:val="0"/>
          <w:szCs w:val="23"/>
          <w:lang w:eastAsia="pl-PL"/>
        </w:rPr>
        <w:t>Panie Jezu, udzielasz nam nieustannie łaski uczestnictwa w Eucharystii, w której uobecniasz dla nas swoją Najświętszą Ofiarę. Dziś autor listu do H</w:t>
      </w:r>
      <w:r w:rsidR="00421F28">
        <w:rPr>
          <w:color w:val="auto"/>
          <w:kern w:val="0"/>
          <w:szCs w:val="23"/>
          <w:lang w:eastAsia="pl-PL"/>
        </w:rPr>
        <w:t>e</w:t>
      </w:r>
      <w:r w:rsidR="00421F28">
        <w:rPr>
          <w:color w:val="auto"/>
          <w:kern w:val="0"/>
          <w:szCs w:val="23"/>
          <w:lang w:eastAsia="pl-PL"/>
        </w:rPr>
        <w:t>brajczyków zachęcił nas, abyśmy przez Ciebie składali Bogu „ofiarę p</w:t>
      </w:r>
      <w:r w:rsidR="00421F28">
        <w:rPr>
          <w:color w:val="auto"/>
          <w:kern w:val="0"/>
          <w:szCs w:val="23"/>
          <w:lang w:eastAsia="pl-PL"/>
        </w:rPr>
        <w:t>o</w:t>
      </w:r>
      <w:r w:rsidR="00421F28">
        <w:rPr>
          <w:color w:val="auto"/>
          <w:kern w:val="0"/>
          <w:szCs w:val="23"/>
          <w:lang w:eastAsia="pl-PL"/>
        </w:rPr>
        <w:t>chwalną nieustannie, to jest owoc warg, które wyznają Jego imię”. Pragniemy, aby pochwalna ofiara, złożona w czasie Eucharystii, przedłużyła się w n</w:t>
      </w:r>
      <w:r w:rsidR="00421F28">
        <w:rPr>
          <w:color w:val="auto"/>
          <w:kern w:val="0"/>
          <w:szCs w:val="23"/>
          <w:lang w:eastAsia="pl-PL"/>
        </w:rPr>
        <w:t>a</w:t>
      </w:r>
      <w:r w:rsidR="00421F28">
        <w:rPr>
          <w:color w:val="auto"/>
          <w:kern w:val="0"/>
          <w:szCs w:val="23"/>
          <w:lang w:eastAsia="pl-PL"/>
        </w:rPr>
        <w:t>szej adoracji, w naszym rozważaniu różańcowym, a także w odmówieniu r</w:t>
      </w:r>
      <w:r w:rsidR="00421F28">
        <w:rPr>
          <w:color w:val="auto"/>
          <w:kern w:val="0"/>
          <w:szCs w:val="23"/>
          <w:lang w:eastAsia="pl-PL"/>
        </w:rPr>
        <w:t>ó</w:t>
      </w:r>
      <w:r w:rsidR="00421F28">
        <w:rPr>
          <w:color w:val="auto"/>
          <w:kern w:val="0"/>
          <w:szCs w:val="23"/>
          <w:lang w:eastAsia="pl-PL"/>
        </w:rPr>
        <w:t xml:space="preserve">żańca. Wzywa nas do tej modlitwy Twoją Najświętsza Matka, Maryja. Pomóż nam jeszcze lepiej zrozumieć znaczenie różańcowych rozważań i przeżywać każdą tajemnicę z pełnym zaangażowaniem umysłu i sercu. </w:t>
      </w:r>
      <w:r w:rsidR="00E40EFD">
        <w:rPr>
          <w:color w:val="auto"/>
          <w:kern w:val="0"/>
          <w:szCs w:val="23"/>
          <w:lang w:eastAsia="pl-PL"/>
        </w:rPr>
        <w:t>Niech słowa Twego z</w:t>
      </w:r>
      <w:r w:rsidR="00E40EFD">
        <w:rPr>
          <w:color w:val="auto"/>
          <w:kern w:val="0"/>
          <w:szCs w:val="23"/>
          <w:lang w:eastAsia="pl-PL"/>
        </w:rPr>
        <w:t>a</w:t>
      </w:r>
      <w:r w:rsidR="00E40EFD">
        <w:rPr>
          <w:color w:val="auto"/>
          <w:kern w:val="0"/>
          <w:szCs w:val="23"/>
          <w:lang w:eastAsia="pl-PL"/>
        </w:rPr>
        <w:t>stępcy na ziemi, papieża Leona XIII, który przez wiele lat w swoich encykl</w:t>
      </w:r>
      <w:r w:rsidR="00E40EFD">
        <w:rPr>
          <w:color w:val="auto"/>
          <w:kern w:val="0"/>
          <w:szCs w:val="23"/>
          <w:lang w:eastAsia="pl-PL"/>
        </w:rPr>
        <w:t>i</w:t>
      </w:r>
      <w:r w:rsidR="00E40EFD">
        <w:rPr>
          <w:color w:val="auto"/>
          <w:kern w:val="0"/>
          <w:szCs w:val="23"/>
          <w:lang w:eastAsia="pl-PL"/>
        </w:rPr>
        <w:t>kach i listach uczył członków Kościół modlić się na różańcu, będą dla nas umocnieniem. Chcemy dziś wsłuchać się we fragmenty jego listu apostolski</w:t>
      </w:r>
      <w:r w:rsidR="00E40EFD">
        <w:rPr>
          <w:color w:val="auto"/>
          <w:kern w:val="0"/>
          <w:szCs w:val="23"/>
          <w:lang w:eastAsia="pl-PL"/>
        </w:rPr>
        <w:t>e</w:t>
      </w:r>
      <w:r w:rsidR="00E40EFD">
        <w:rPr>
          <w:color w:val="auto"/>
          <w:kern w:val="0"/>
          <w:szCs w:val="23"/>
          <w:lang w:eastAsia="pl-PL"/>
        </w:rPr>
        <w:t xml:space="preserve">go z </w:t>
      </w:r>
      <w:r w:rsidR="000D2222">
        <w:t>22 września 1891</w:t>
      </w:r>
      <w:r w:rsidR="00E40EFD">
        <w:t xml:space="preserve"> roku</w:t>
      </w:r>
      <w:r w:rsidR="000D2222">
        <w:t xml:space="preserve"> </w:t>
      </w:r>
      <w:r w:rsidR="00E40EFD">
        <w:t>„</w:t>
      </w:r>
      <w:r w:rsidR="000D2222">
        <w:t>Octobri mense</w:t>
      </w:r>
      <w:r w:rsidR="00E40EFD">
        <w:t>”. Po każdym doczytanym fra</w:t>
      </w:r>
      <w:r w:rsidR="00E40EFD">
        <w:t>g</w:t>
      </w:r>
      <w:r w:rsidR="00E40EFD">
        <w:t>mencie pozostaniemy w chwili ciszy.</w:t>
      </w:r>
    </w:p>
    <w:p w:rsidR="00421F28" w:rsidRDefault="00421F28" w:rsidP="00AA55FC">
      <w:r>
        <w:t>L1: „M</w:t>
      </w:r>
      <w:r w:rsidRPr="00F734F2">
        <w:t>iędzy różn</w:t>
      </w:r>
      <w:r>
        <w:t>y</w:t>
      </w:r>
      <w:r w:rsidRPr="00F734F2">
        <w:t>mi kształtami i sposobami uczczenia Bożej Matki trzeba dać pier</w:t>
      </w:r>
      <w:r w:rsidRPr="00F734F2">
        <w:t>w</w:t>
      </w:r>
      <w:r w:rsidRPr="00F734F2">
        <w:t xml:space="preserve">szeństwo tym, o których wiemy że są przedniejsze same przez się i Jej milsze, a takim jest, co z przyjemnością wymieniamy w szczególności i usilnie </w:t>
      </w:r>
      <w:r w:rsidRPr="00F734F2">
        <w:rPr>
          <w:bCs/>
        </w:rPr>
        <w:t>polecamy</w:t>
      </w:r>
      <w:r w:rsidRPr="00F734F2">
        <w:rPr>
          <w:b/>
          <w:bCs/>
        </w:rPr>
        <w:t xml:space="preserve"> </w:t>
      </w:r>
      <w:r>
        <w:rPr>
          <w:b/>
          <w:bCs/>
        </w:rPr>
        <w:t>–</w:t>
      </w:r>
      <w:r w:rsidRPr="00F734F2">
        <w:t xml:space="preserve"> Różaniec. W mowie potocznej nazywa się ten sposób m</w:t>
      </w:r>
      <w:r w:rsidRPr="00F734F2">
        <w:t>o</w:t>
      </w:r>
      <w:r w:rsidRPr="00F734F2">
        <w:t>dlitwy koroną  (czyli wieńcem) z tej przyczyny, że wiąże z sobą w szczęśliwie dobraną całość wielkie tajemnice Jezusa i Mar</w:t>
      </w:r>
      <w:r>
        <w:t>y</w:t>
      </w:r>
      <w:r w:rsidRPr="00F734F2">
        <w:t xml:space="preserve">i, ich radości, boleści i </w:t>
      </w:r>
      <w:r>
        <w:t>chwałę.</w:t>
      </w:r>
      <w:r w:rsidRPr="00F734F2">
        <w:rPr>
          <w:b/>
          <w:bCs/>
        </w:rPr>
        <w:t xml:space="preserve"> </w:t>
      </w:r>
      <w:r w:rsidRPr="00F734F2">
        <w:t>Gdy wierni, wspominając pobożnie te dostojne tajemnice, rozważ</w:t>
      </w:r>
      <w:r w:rsidRPr="00F734F2">
        <w:t>a</w:t>
      </w:r>
      <w:r w:rsidRPr="00F734F2">
        <w:t>ją je i im się przypatrują, dziwną mogą stąd czerpać pomoc dla podtrzym</w:t>
      </w:r>
      <w:r w:rsidRPr="00F734F2">
        <w:t>a</w:t>
      </w:r>
      <w:r w:rsidRPr="00F734F2">
        <w:t>nia żywości swej wiary oraz uchronienia jej od zarazy niewi</w:t>
      </w:r>
      <w:r>
        <w:t>edzy</w:t>
      </w:r>
      <w:r w:rsidRPr="00F734F2">
        <w:t xml:space="preserve"> i błędów, a także do po</w:t>
      </w:r>
      <w:r w:rsidRPr="00F734F2">
        <w:t>d</w:t>
      </w:r>
      <w:r w:rsidRPr="00F734F2">
        <w:t>niesienia i utrzymania męstwa swej duszy. Kto bowiem modli się w ten sp</w:t>
      </w:r>
      <w:r w:rsidRPr="00F734F2">
        <w:t>o</w:t>
      </w:r>
      <w:r w:rsidRPr="00F734F2">
        <w:t>sób, tego myśl i pamięć, oświecone światłem wiary, unoszą się ku tym taje</w:t>
      </w:r>
      <w:r w:rsidRPr="00F734F2">
        <w:t>m</w:t>
      </w:r>
      <w:r w:rsidRPr="00F734F2">
        <w:t>nicom z najmilszą usilnością, a zatapiając się w nich i wnikając w ich głębię, nie mogą się dość nadziwić niewymownemu dziełu Odkupienia lud</w:t>
      </w:r>
      <w:r w:rsidRPr="00F734F2">
        <w:t>z</w:t>
      </w:r>
      <w:r w:rsidRPr="00F734F2">
        <w:t>kości, dokonanemu za tak wielką cenę i przez następstwo tak wielkich zdarzeń. D</w:t>
      </w:r>
      <w:r w:rsidRPr="00F734F2">
        <w:t>u</w:t>
      </w:r>
      <w:r w:rsidRPr="00F734F2">
        <w:t xml:space="preserve">sza wtedy zapala się miłością i wdzięcznością wobec tych dowodów Boskiej </w:t>
      </w:r>
      <w:r w:rsidRPr="00F734F2">
        <w:lastRenderedPageBreak/>
        <w:t>miłości, utwierdza się i wzrasta w nadziei, bo z większ</w:t>
      </w:r>
      <w:r>
        <w:t>y</w:t>
      </w:r>
      <w:r w:rsidRPr="00F734F2">
        <w:t>m pragni</w:t>
      </w:r>
      <w:r w:rsidRPr="00F734F2">
        <w:t>e</w:t>
      </w:r>
      <w:r w:rsidRPr="00F734F2">
        <w:t>niem kieruje się ku zapłacie niebiańskiej, zgotowanej przez Chrystusa tym, którzy się z Nim połączą przez naśladowanie Jego przykładu i uczestnictwo w Jego cie</w:t>
      </w:r>
      <w:r w:rsidRPr="00F734F2">
        <w:t>r</w:t>
      </w:r>
      <w:r w:rsidRPr="00F734F2">
        <w:t>pieniach</w:t>
      </w:r>
      <w:r>
        <w:t>”.</w:t>
      </w:r>
    </w:p>
    <w:p w:rsidR="00E40EFD" w:rsidRPr="00E40EFD" w:rsidRDefault="00E40EFD" w:rsidP="00AA55FC">
      <w:pPr>
        <w:rPr>
          <w:i/>
        </w:rPr>
      </w:pPr>
      <w:r w:rsidRPr="00E40EFD">
        <w:rPr>
          <w:i/>
        </w:rPr>
        <w:t>Chwila ciszy.</w:t>
      </w:r>
    </w:p>
    <w:p w:rsidR="001B1F44" w:rsidRPr="00BB0551" w:rsidRDefault="001B1F44" w:rsidP="001B1F44">
      <w:r>
        <w:t>L</w:t>
      </w:r>
      <w:r w:rsidR="00E40EFD">
        <w:t>2</w:t>
      </w:r>
      <w:r>
        <w:t>: „</w:t>
      </w:r>
      <w:r w:rsidRPr="00BB0551">
        <w:t>Rzecz to bowiem dziwna i po ludzku nie do uwierzenia! Świat kroczy swą drogą pełną trudu, opierając się na bogactwach, sile, uzbrojeniu i tale</w:t>
      </w:r>
      <w:r w:rsidRPr="00BB0551">
        <w:t>n</w:t>
      </w:r>
      <w:r w:rsidRPr="00BB0551">
        <w:t xml:space="preserve">tach. Pewnym i spokojnym krokiem </w:t>
      </w:r>
      <w:r w:rsidR="00E40EFD">
        <w:t>kroczy</w:t>
      </w:r>
      <w:r w:rsidRPr="00BB0551">
        <w:t xml:space="preserve"> Kościół w ciągu wieków, ufając jedynie Bogu, do którego wznosi oczy i ręce w dziennej i nocnej modl</w:t>
      </w:r>
      <w:r w:rsidRPr="00BB0551">
        <w:t>i</w:t>
      </w:r>
      <w:r w:rsidRPr="00BB0551">
        <w:t>twie. Chociaż bowiem w roztropności swej nie gardzi inn</w:t>
      </w:r>
      <w:r>
        <w:t>y</w:t>
      </w:r>
      <w:r w:rsidRPr="00BB0551">
        <w:t>mi, ludzkimi p</w:t>
      </w:r>
      <w:r w:rsidRPr="00BB0551">
        <w:t>o</w:t>
      </w:r>
      <w:r w:rsidRPr="00BB0551">
        <w:t xml:space="preserve">mocami, które mu za zrządzeniem boskim czas </w:t>
      </w:r>
      <w:r w:rsidR="00E40EFD">
        <w:t>przynosi</w:t>
      </w:r>
      <w:r w:rsidRPr="00BB0551">
        <w:t>, to jednak nie w nich p</w:t>
      </w:r>
      <w:r w:rsidRPr="00BB0551">
        <w:t>o</w:t>
      </w:r>
      <w:r w:rsidRPr="00BB0551">
        <w:t>kłada głównie swą nadzieję, lecz raczej w modlitwie, błaganiu i wzywaniu Boga. T</w:t>
      </w:r>
      <w:r>
        <w:t>y</w:t>
      </w:r>
      <w:r w:rsidRPr="00BB0551">
        <w:t>m utrzymuje i wzmacnia swój życiowy oddech, bo skutkiem ust</w:t>
      </w:r>
      <w:r w:rsidRPr="00BB0551">
        <w:t>a</w:t>
      </w:r>
      <w:r w:rsidRPr="00BB0551">
        <w:t>wicznej modlitwy może szczęśliwie, nietknięty zmiennością rzeczy ludzkich w stał</w:t>
      </w:r>
      <w:r w:rsidR="00E40EFD">
        <w:t>y</w:t>
      </w:r>
      <w:r w:rsidRPr="00BB0551">
        <w:t>m złączeniu z wolą Bożą czerpać życie od samego Chrystusa Pana</w:t>
      </w:r>
      <w:r>
        <w:t xml:space="preserve"> [...]</w:t>
      </w:r>
      <w:r w:rsidRPr="00BB0551">
        <w:t>.</w:t>
      </w:r>
      <w:r>
        <w:t xml:space="preserve"> </w:t>
      </w:r>
      <w:r w:rsidRPr="00BB0551">
        <w:t>Tej wa</w:t>
      </w:r>
      <w:r w:rsidRPr="00BB0551">
        <w:t>ż</w:t>
      </w:r>
      <w:r w:rsidRPr="00BB0551">
        <w:t>nej nauki mądrości chrześcijańskiej trzymali się po wszystkie czasy i wyk</w:t>
      </w:r>
      <w:r w:rsidRPr="00BB0551">
        <w:t>o</w:t>
      </w:r>
      <w:r w:rsidRPr="00BB0551">
        <w:t>nywali ją pobożnie wszyscy chrześcijanie godni tego imienia: modl</w:t>
      </w:r>
      <w:r w:rsidRPr="00BB0551">
        <w:t>i</w:t>
      </w:r>
      <w:r w:rsidRPr="00BB0551">
        <w:t>twy ich zwykle wznosiły się do Boga t</w:t>
      </w:r>
      <w:r>
        <w:t>y</w:t>
      </w:r>
      <w:r w:rsidRPr="00BB0551">
        <w:t>m żywsze i częstsze, gdy na Kościół św</w:t>
      </w:r>
      <w:r w:rsidR="00E40EFD">
        <w:t>ięty</w:t>
      </w:r>
      <w:r w:rsidRPr="00BB0551">
        <w:t xml:space="preserve"> lub </w:t>
      </w:r>
      <w:r w:rsidR="00E40EFD">
        <w:t>n</w:t>
      </w:r>
      <w:r w:rsidRPr="00BB0551">
        <w:t xml:space="preserve">ajwyższego jego </w:t>
      </w:r>
      <w:r w:rsidR="00E40EFD">
        <w:t>p</w:t>
      </w:r>
      <w:r w:rsidRPr="00BB0551">
        <w:t xml:space="preserve">asterza spadało jakieś nieszczęście, spowodowane </w:t>
      </w:r>
      <w:r w:rsidR="00E40EFD">
        <w:t>przebiegłością</w:t>
      </w:r>
      <w:r w:rsidRPr="00BB0551">
        <w:t xml:space="preserve"> i </w:t>
      </w:r>
      <w:r>
        <w:t>przemocą</w:t>
      </w:r>
      <w:r w:rsidRPr="00BB0551">
        <w:t xml:space="preserve"> niegodziwych ludzi</w:t>
      </w:r>
      <w:r>
        <w:t>”</w:t>
      </w:r>
      <w:r w:rsidRPr="00BB0551">
        <w:t>.</w:t>
      </w:r>
    </w:p>
    <w:p w:rsidR="00E40EFD" w:rsidRPr="00E40EFD" w:rsidRDefault="00E40EFD" w:rsidP="00E40EFD">
      <w:pPr>
        <w:rPr>
          <w:i/>
        </w:rPr>
      </w:pPr>
      <w:r w:rsidRPr="00E40EFD">
        <w:rPr>
          <w:i/>
        </w:rPr>
        <w:t>Chwila ciszy.</w:t>
      </w:r>
    </w:p>
    <w:p w:rsidR="001B1F44" w:rsidRDefault="00F35ED6" w:rsidP="00F35ED6">
      <w:r>
        <w:t>L1: „</w:t>
      </w:r>
      <w:r w:rsidRPr="00F734F2">
        <w:t>Jeszcze znakomitszy i boski przykład dał Chrystus, aby Kościół swój nie</w:t>
      </w:r>
      <w:r>
        <w:t xml:space="preserve"> </w:t>
      </w:r>
      <w:r w:rsidRPr="00F734F2">
        <w:t>tylko za</w:t>
      </w:r>
      <w:r>
        <w:t xml:space="preserve"> </w:t>
      </w:r>
      <w:r w:rsidRPr="00F734F2">
        <w:t>pomocą przykazań</w:t>
      </w:r>
      <w:r>
        <w:t>,</w:t>
      </w:r>
      <w:r w:rsidRPr="00F734F2">
        <w:t xml:space="preserve"> lecz na swój własny wzór do wszelkiej z</w:t>
      </w:r>
      <w:r w:rsidRPr="00F734F2">
        <w:t>a</w:t>
      </w:r>
      <w:r w:rsidRPr="00F734F2">
        <w:t>prawić i przyuczyć świętości. On bowiem, który w cał</w:t>
      </w:r>
      <w:r>
        <w:t>y</w:t>
      </w:r>
      <w:r w:rsidRPr="00F734F2">
        <w:t>m życiu oddawał się częstej i żarliwej modlitwie, również w ostatnich swych godzinach, gdy w ogrodzie Getsema</w:t>
      </w:r>
      <w:r>
        <w:t>ni</w:t>
      </w:r>
      <w:r w:rsidRPr="00F734F2">
        <w:t xml:space="preserve"> z duszą zalaną niezmierną goryczą </w:t>
      </w:r>
      <w:r w:rsidR="00E40EFD">
        <w:t>«</w:t>
      </w:r>
      <w:r w:rsidRPr="00F35ED6">
        <w:t>smucił się aż do śmierci</w:t>
      </w:r>
      <w:r w:rsidR="00E40EFD">
        <w:t>»</w:t>
      </w:r>
      <w:r w:rsidRPr="00F35ED6">
        <w:t>,</w:t>
      </w:r>
      <w:r w:rsidRPr="00F734F2">
        <w:rPr>
          <w:i/>
          <w:iCs/>
        </w:rPr>
        <w:t xml:space="preserve"> </w:t>
      </w:r>
      <w:r w:rsidRPr="00F734F2">
        <w:t>wtedy nie</w:t>
      </w:r>
      <w:r>
        <w:t xml:space="preserve"> </w:t>
      </w:r>
      <w:r w:rsidRPr="00F734F2">
        <w:t xml:space="preserve">tylko modlił się do Ojca, lecz </w:t>
      </w:r>
      <w:r w:rsidR="00E40EFD">
        <w:t xml:space="preserve">«jeszcze </w:t>
      </w:r>
      <w:r>
        <w:t>usilniej się m</w:t>
      </w:r>
      <w:r>
        <w:t>o</w:t>
      </w:r>
      <w:r>
        <w:t>dlił</w:t>
      </w:r>
      <w:r w:rsidR="00E40EFD">
        <w:t>»</w:t>
      </w:r>
      <w:r w:rsidRPr="00F734F2">
        <w:rPr>
          <w:i/>
          <w:iCs/>
        </w:rPr>
        <w:t xml:space="preserve"> </w:t>
      </w:r>
      <w:r w:rsidRPr="00F734F2">
        <w:t>(Łk 22,43). Nie uczynił zaś tego ze względu na siebie, będąc Bogiem, który niczego się nie boi, ani też niczego nie potrzebuje, lecz</w:t>
      </w:r>
      <w:r w:rsidRPr="00F734F2">
        <w:rPr>
          <w:vertAlign w:val="superscript"/>
        </w:rPr>
        <w:t xml:space="preserve"> </w:t>
      </w:r>
      <w:r w:rsidRPr="00F734F2">
        <w:t>uczynił to dla nas, dla swego Kościoła, którego przyszłe modły i łzy już wtedy chętnie i m</w:t>
      </w:r>
      <w:r w:rsidRPr="00F734F2">
        <w:t>i</w:t>
      </w:r>
      <w:r w:rsidRPr="00F734F2">
        <w:t>łośnie przyjął i zapłodnił swą ł</w:t>
      </w:r>
      <w:r w:rsidRPr="00F734F2">
        <w:t>a</w:t>
      </w:r>
      <w:r w:rsidRPr="00F734F2">
        <w:t>ską</w:t>
      </w:r>
      <w:r>
        <w:t>”</w:t>
      </w:r>
      <w:r w:rsidRPr="00F734F2">
        <w:t>.</w:t>
      </w:r>
    </w:p>
    <w:p w:rsidR="005E775D" w:rsidRDefault="005E775D" w:rsidP="00AA55FC">
      <w:r>
        <w:t>L2: Dziękujemy Ci, Panie Jezu, za Twoją modlitwę, z której czerpiemy wzór i umocnienie, i w której możemy uczestniczyć. Dziękujemy za naucz</w:t>
      </w:r>
      <w:r>
        <w:t>y</w:t>
      </w:r>
      <w:r>
        <w:t>cieli modlitwy, którzy podtrzymują nasze ręce, abyśmy nie ustawali w nie</w:t>
      </w:r>
      <w:r>
        <w:t>u</w:t>
      </w:r>
      <w:r>
        <w:t>stannym składaniu „ofiary warg, który wychwalają imię Boga”. Przyjmij, P</w:t>
      </w:r>
      <w:r>
        <w:t>a</w:t>
      </w:r>
      <w:r>
        <w:t>nie, modlitwę naszych serc.</w:t>
      </w:r>
    </w:p>
    <w:p w:rsidR="005A238D" w:rsidRPr="002368D2" w:rsidRDefault="005A238D" w:rsidP="005A238D">
      <w:pPr>
        <w:rPr>
          <w:i/>
          <w:color w:val="auto"/>
          <w:kern w:val="0"/>
          <w:szCs w:val="23"/>
          <w:lang w:eastAsia="pl-PL"/>
        </w:rPr>
      </w:pPr>
      <w:r>
        <w:rPr>
          <w:i/>
          <w:color w:val="auto"/>
          <w:kern w:val="0"/>
          <w:szCs w:val="23"/>
          <w:lang w:eastAsia="pl-PL"/>
        </w:rPr>
        <w:t>Chwila ciszy.</w:t>
      </w:r>
    </w:p>
    <w:p w:rsidR="00855E09" w:rsidRDefault="00B83FB6">
      <w:r>
        <w:rPr>
          <w:i/>
          <w:iCs/>
          <w:szCs w:val="23"/>
        </w:rPr>
        <w:t>Ś</w:t>
      </w:r>
      <w:r w:rsidR="00855E09">
        <w:rPr>
          <w:i/>
          <w:iCs/>
          <w:szCs w:val="23"/>
        </w:rPr>
        <w:t xml:space="preserve">piew: </w:t>
      </w:r>
      <w:r w:rsidR="00855E09" w:rsidRPr="00033F6B">
        <w:t>„</w:t>
      </w:r>
      <w:r w:rsidR="005E775D">
        <w:t>Wszystko Tobie oddać pragnę</w:t>
      </w:r>
      <w:r w:rsidR="00855E09" w:rsidRPr="00033F6B">
        <w:t>”</w:t>
      </w:r>
      <w:r w:rsidR="00855E09">
        <w:rPr>
          <w:i/>
          <w:iCs/>
          <w:szCs w:val="23"/>
        </w:rPr>
        <w:t>.</w:t>
      </w:r>
    </w:p>
    <w:p w:rsidR="00F8626B" w:rsidRDefault="00F8626B" w:rsidP="00F8626B">
      <w:pPr>
        <w:pStyle w:val="Nagwek1"/>
      </w:pPr>
      <w:r>
        <w:rPr>
          <w:sz w:val="23"/>
          <w:szCs w:val="23"/>
        </w:rPr>
        <w:lastRenderedPageBreak/>
        <w:t>Cząstka Różańca</w:t>
      </w:r>
    </w:p>
    <w:p w:rsidR="00706D4D" w:rsidRDefault="00544FA0" w:rsidP="00706D4D">
      <w:pPr>
        <w:ind w:firstLine="0"/>
        <w:rPr>
          <w:szCs w:val="21"/>
        </w:rPr>
      </w:pPr>
      <w:r>
        <w:rPr>
          <w:noProof/>
          <w:szCs w:val="23"/>
          <w:lang w:eastAsia="pl-PL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33020</wp:posOffset>
            </wp:positionV>
            <wp:extent cx="647065" cy="645795"/>
            <wp:effectExtent l="0" t="0" r="635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71" t="-2371" r="-2371" b="-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6B">
        <w:rPr>
          <w:szCs w:val="23"/>
        </w:rPr>
        <w:t xml:space="preserve">P: </w:t>
      </w:r>
      <w:r w:rsidR="005E775D">
        <w:rPr>
          <w:szCs w:val="23"/>
        </w:rPr>
        <w:t xml:space="preserve">Rozważmy dziś różańcowe tajemnice światła. Przeżywajmy każdą z nich z Maryją </w:t>
      </w:r>
      <w:r w:rsidR="004D0255">
        <w:rPr>
          <w:szCs w:val="23"/>
        </w:rPr>
        <w:t xml:space="preserve">wpatrując się w modlitwę Jezusa i </w:t>
      </w:r>
      <w:r w:rsidR="005E775D">
        <w:rPr>
          <w:szCs w:val="23"/>
        </w:rPr>
        <w:t>przyjmując Jego pouczenie o m</w:t>
      </w:r>
      <w:r w:rsidR="005E775D">
        <w:rPr>
          <w:szCs w:val="23"/>
        </w:rPr>
        <w:t>o</w:t>
      </w:r>
      <w:r w:rsidR="005E775D">
        <w:rPr>
          <w:szCs w:val="23"/>
        </w:rPr>
        <w:t>dlitwie.</w:t>
      </w:r>
      <w:r w:rsidR="00F8626B">
        <w:rPr>
          <w:szCs w:val="21"/>
        </w:rPr>
        <w:t xml:space="preserve"> </w:t>
      </w:r>
    </w:p>
    <w:p w:rsidR="00F8626B" w:rsidRDefault="00F8626B" w:rsidP="00706D4D">
      <w:pPr>
        <w:ind w:firstLine="0"/>
      </w:pPr>
      <w:r>
        <w:rPr>
          <w:szCs w:val="21"/>
        </w:rPr>
        <w:t>O</w:t>
      </w:r>
      <w:r>
        <w:rPr>
          <w:szCs w:val="21"/>
        </w:rPr>
        <w:t>j</w:t>
      </w:r>
      <w:r>
        <w:rPr>
          <w:szCs w:val="21"/>
        </w:rPr>
        <w:t>cze nasz. Zdrowaś Mario (3x). Chwała Ojcu.</w:t>
      </w:r>
    </w:p>
    <w:p w:rsidR="00F8626B" w:rsidRDefault="00F8626B" w:rsidP="00F8626B">
      <w:pPr>
        <w:pStyle w:val="Nagwek3"/>
        <w:spacing w:before="180"/>
      </w:pPr>
      <w:r>
        <w:rPr>
          <w:rFonts w:ascii="Times New Roman" w:hAnsi="Times New Roman" w:cs="Times New Roman"/>
          <w:szCs w:val="23"/>
        </w:rPr>
        <w:t xml:space="preserve">Tajemnica pierwsza: </w:t>
      </w:r>
      <w:r w:rsidR="005E775D">
        <w:rPr>
          <w:rFonts w:ascii="Times New Roman" w:hAnsi="Times New Roman" w:cs="Times New Roman"/>
          <w:szCs w:val="23"/>
        </w:rPr>
        <w:t>Chrzest Pana Jezusa w Jordanie</w:t>
      </w:r>
    </w:p>
    <w:p w:rsidR="000056E3" w:rsidRDefault="00F8626B" w:rsidP="00481DE0">
      <w:pPr>
        <w:rPr>
          <w:szCs w:val="23"/>
        </w:rPr>
      </w:pPr>
      <w:r>
        <w:rPr>
          <w:szCs w:val="23"/>
        </w:rPr>
        <w:t xml:space="preserve">P: </w:t>
      </w:r>
      <w:r w:rsidR="000056E3">
        <w:rPr>
          <w:szCs w:val="23"/>
        </w:rPr>
        <w:t>„G</w:t>
      </w:r>
      <w:r w:rsidR="000056E3">
        <w:rPr>
          <w:lang w:eastAsia="pl-PL"/>
        </w:rPr>
        <w:t>dy Jezus się modlił, otworzyło się niebo i Duch Święty zstąpił na Niego, w postaci cielesnej niby gołębica” (Łk 3,22). Gdy się modlimy z Jez</w:t>
      </w:r>
      <w:r w:rsidR="000056E3">
        <w:rPr>
          <w:lang w:eastAsia="pl-PL"/>
        </w:rPr>
        <w:t>u</w:t>
      </w:r>
      <w:r w:rsidR="000056E3">
        <w:rPr>
          <w:lang w:eastAsia="pl-PL"/>
        </w:rPr>
        <w:t>sem, otwiera się niebo i zstępuje Duch Święty. Naucz nas, Panie, modlić się!</w:t>
      </w:r>
    </w:p>
    <w:p w:rsidR="00F8626B" w:rsidRDefault="00F8626B" w:rsidP="00F8626B">
      <w:r>
        <w:rPr>
          <w:szCs w:val="23"/>
        </w:rPr>
        <w:t>L: Ojcze nasz. Zdrowaś Mario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druga: </w:t>
      </w:r>
      <w:r w:rsidR="000056E3">
        <w:rPr>
          <w:rFonts w:ascii="Times New Roman" w:hAnsi="Times New Roman" w:cs="Times New Roman"/>
          <w:szCs w:val="23"/>
        </w:rPr>
        <w:t>Przemiana wody w wino w Kanie Galilejskiej</w:t>
      </w:r>
    </w:p>
    <w:p w:rsidR="000056E3" w:rsidRDefault="00B83FB6" w:rsidP="000056E3">
      <w:r>
        <w:rPr>
          <w:szCs w:val="23"/>
        </w:rPr>
        <w:t xml:space="preserve">P: </w:t>
      </w:r>
      <w:r w:rsidR="000056E3">
        <w:rPr>
          <w:szCs w:val="23"/>
        </w:rPr>
        <w:t>„</w:t>
      </w:r>
      <w:r w:rsidR="000056E3" w:rsidRPr="007C7015">
        <w:t>Jezus</w:t>
      </w:r>
      <w:r w:rsidR="000056E3">
        <w:t xml:space="preserve"> rzekł do sług</w:t>
      </w:r>
      <w:r w:rsidR="000056E3" w:rsidRPr="007C7015">
        <w:t xml:space="preserve">: </w:t>
      </w:r>
      <w:r w:rsidR="000056E3">
        <w:t>«</w:t>
      </w:r>
      <w:r w:rsidR="000056E3" w:rsidRPr="007C7015">
        <w:t>Napełnijcie stągwie wodą!</w:t>
      </w:r>
      <w:r w:rsidR="000056E3">
        <w:t>»</w:t>
      </w:r>
      <w:r w:rsidR="000056E3" w:rsidRPr="007C7015">
        <w:t xml:space="preserve"> I napełnili je aż po brzegi.</w:t>
      </w:r>
      <w:r w:rsidR="000056E3">
        <w:t xml:space="preserve"> </w:t>
      </w:r>
      <w:r w:rsidR="000056E3" w:rsidRPr="007C7015">
        <w:t xml:space="preserve">Potem powiedział: </w:t>
      </w:r>
      <w:r w:rsidR="000056E3">
        <w:t>«</w:t>
      </w:r>
      <w:r w:rsidR="000056E3" w:rsidRPr="007C7015">
        <w:t>Zaczerpnijcie teraz i zanieście staroście weseln</w:t>
      </w:r>
      <w:r w:rsidR="000056E3" w:rsidRPr="007C7015">
        <w:t>e</w:t>
      </w:r>
      <w:r w:rsidR="000056E3" w:rsidRPr="007C7015">
        <w:t>mu!</w:t>
      </w:r>
      <w:r w:rsidR="000056E3">
        <w:t>»</w:t>
      </w:r>
      <w:r w:rsidR="000056E3" w:rsidRPr="007C7015">
        <w:t xml:space="preserve"> Oni zaś z</w:t>
      </w:r>
      <w:r w:rsidR="000056E3" w:rsidRPr="007C7015">
        <w:t>a</w:t>
      </w:r>
      <w:r w:rsidR="000056E3" w:rsidRPr="007C7015">
        <w:t>nieśli</w:t>
      </w:r>
      <w:r w:rsidR="000056E3">
        <w:t>” (J 2,7-8)</w:t>
      </w:r>
      <w:r w:rsidR="000056E3" w:rsidRPr="007C7015">
        <w:t>.</w:t>
      </w:r>
      <w:r w:rsidR="000056E3">
        <w:t xml:space="preserve"> Jezu, naucz nas słuchać Twoich poleceń.</w:t>
      </w:r>
    </w:p>
    <w:p w:rsidR="00F8626B" w:rsidRDefault="00F8626B" w:rsidP="00F8626B">
      <w:r>
        <w:rPr>
          <w:szCs w:val="23"/>
        </w:rPr>
        <w:t>L: Ojcze nasz. Zdrowaś Mario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trzecia: </w:t>
      </w:r>
      <w:r w:rsidR="000056E3">
        <w:rPr>
          <w:rFonts w:ascii="Times New Roman" w:hAnsi="Times New Roman" w:cs="Times New Roman"/>
          <w:szCs w:val="23"/>
        </w:rPr>
        <w:t>Głoszenie królestwa niebieskiego</w:t>
      </w:r>
      <w:r w:rsidR="0058032F">
        <w:rPr>
          <w:rFonts w:ascii="Times New Roman" w:hAnsi="Times New Roman" w:cs="Times New Roman"/>
          <w:szCs w:val="23"/>
        </w:rPr>
        <w:t xml:space="preserve"> </w:t>
      </w:r>
    </w:p>
    <w:p w:rsidR="000056E3" w:rsidRDefault="00FC78C1" w:rsidP="000056E3">
      <w:r>
        <w:t xml:space="preserve">P: </w:t>
      </w:r>
      <w:r w:rsidR="000056E3">
        <w:t>„</w:t>
      </w:r>
      <w:r w:rsidR="000056E3">
        <w:rPr>
          <w:lang w:eastAsia="pl-PL"/>
        </w:rPr>
        <w:t xml:space="preserve">Gdy Jezus przebywał w jakimś miejscu na modlitwie i skończył ją, rzekł jeden z uczniów do Niego: «Panie, </w:t>
      </w:r>
      <w:r w:rsidR="000056E3" w:rsidRPr="000056E3">
        <w:t>naucz</w:t>
      </w:r>
      <w:r w:rsidR="000056E3">
        <w:rPr>
          <w:lang w:eastAsia="pl-PL"/>
        </w:rPr>
        <w:t xml:space="preserve"> nas się modlić»” (Łk 11,1). My również prosimy</w:t>
      </w:r>
      <w:r w:rsidR="004D0255">
        <w:rPr>
          <w:lang w:eastAsia="pl-PL"/>
        </w:rPr>
        <w:t xml:space="preserve"> z wiarą</w:t>
      </w:r>
      <w:r w:rsidR="000056E3">
        <w:rPr>
          <w:lang w:eastAsia="pl-PL"/>
        </w:rPr>
        <w:t>: „Panie, naucz nas modlić się”.</w:t>
      </w:r>
    </w:p>
    <w:p w:rsidR="00F8626B" w:rsidRDefault="00F8626B" w:rsidP="00F8626B">
      <w:r>
        <w:rPr>
          <w:szCs w:val="23"/>
        </w:rPr>
        <w:t>L: Ojcze nasz. Zdrowaś Mario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czwarta: </w:t>
      </w:r>
      <w:r w:rsidR="000056E3">
        <w:rPr>
          <w:rFonts w:ascii="Times New Roman" w:hAnsi="Times New Roman" w:cs="Times New Roman"/>
          <w:szCs w:val="23"/>
        </w:rPr>
        <w:t>Przemienienie na górze Tabor</w:t>
      </w:r>
    </w:p>
    <w:p w:rsidR="000056E3" w:rsidRDefault="00FC78C1" w:rsidP="000056E3">
      <w:pPr>
        <w:rPr>
          <w:lang w:eastAsia="pl-PL"/>
        </w:rPr>
      </w:pPr>
      <w:r>
        <w:t xml:space="preserve">P: </w:t>
      </w:r>
      <w:r w:rsidR="000056E3">
        <w:t>„</w:t>
      </w:r>
      <w:r w:rsidR="000056E3">
        <w:rPr>
          <w:lang w:eastAsia="pl-PL"/>
        </w:rPr>
        <w:t xml:space="preserve">Gdy </w:t>
      </w:r>
      <w:r w:rsidR="004D0255">
        <w:rPr>
          <w:lang w:eastAsia="pl-PL"/>
        </w:rPr>
        <w:t xml:space="preserve">Jezus </w:t>
      </w:r>
      <w:r w:rsidR="000056E3">
        <w:rPr>
          <w:lang w:eastAsia="pl-PL"/>
        </w:rPr>
        <w:t>się modlił, wygląd Jego twarzy się odmienił, a Jego odzienie stało się lśni</w:t>
      </w:r>
      <w:r w:rsidR="000056E3">
        <w:rPr>
          <w:lang w:eastAsia="pl-PL"/>
        </w:rPr>
        <w:t>ą</w:t>
      </w:r>
      <w:r w:rsidR="000056E3">
        <w:rPr>
          <w:lang w:eastAsia="pl-PL"/>
        </w:rPr>
        <w:t xml:space="preserve">co białe” (Łk 9,29). Gdy się modlimy z Jezusem, </w:t>
      </w:r>
      <w:r w:rsidR="004D0255">
        <w:rPr>
          <w:lang w:eastAsia="pl-PL"/>
        </w:rPr>
        <w:t>zmienia się nasze życie. Staje się jasne, pełne światła, piękne. Panie, naucz nas m</w:t>
      </w:r>
      <w:r w:rsidR="004D0255">
        <w:rPr>
          <w:lang w:eastAsia="pl-PL"/>
        </w:rPr>
        <w:t>o</w:t>
      </w:r>
      <w:r w:rsidR="004D0255">
        <w:rPr>
          <w:lang w:eastAsia="pl-PL"/>
        </w:rPr>
        <w:t>dlić się.</w:t>
      </w:r>
    </w:p>
    <w:p w:rsidR="00F8626B" w:rsidRDefault="00F8626B" w:rsidP="00F8626B">
      <w:r>
        <w:rPr>
          <w:szCs w:val="23"/>
        </w:rPr>
        <w:t>L: Ojcze nasz. Zdrowaś Mario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piąta: </w:t>
      </w:r>
      <w:r w:rsidR="004D0255">
        <w:rPr>
          <w:rFonts w:ascii="Times New Roman" w:hAnsi="Times New Roman" w:cs="Times New Roman"/>
          <w:szCs w:val="23"/>
        </w:rPr>
        <w:t>Ustanowienie Eucharystii</w:t>
      </w:r>
    </w:p>
    <w:p w:rsidR="004D0255" w:rsidRPr="004D0255" w:rsidRDefault="00FC78C1" w:rsidP="004D0255">
      <w:r>
        <w:t xml:space="preserve">P: </w:t>
      </w:r>
      <w:r w:rsidR="004D0255">
        <w:t>Jezus</w:t>
      </w:r>
      <w:r w:rsidR="004D0255" w:rsidRPr="004D0255">
        <w:t xml:space="preserve"> </w:t>
      </w:r>
      <w:r w:rsidR="004D0255">
        <w:t>„</w:t>
      </w:r>
      <w:r w:rsidR="004D0255" w:rsidRPr="004D0255">
        <w:t>podniósłszy oczy ku niebu, rzekł</w:t>
      </w:r>
      <w:r w:rsidR="004D0255">
        <w:t>:</w:t>
      </w:r>
      <w:r w:rsidR="004D0255" w:rsidRPr="004D0255">
        <w:t xml:space="preserve"> </w:t>
      </w:r>
      <w:r w:rsidR="004D0255">
        <w:t>«</w:t>
      </w:r>
      <w:r w:rsidR="004D0255" w:rsidRPr="004D0255">
        <w:t>Nie tylko za nimi proszę, ale i za tymi, którzy dzięki ich słowu będą wierzyć we Mnie</w:t>
      </w:r>
      <w:r w:rsidR="004D0255">
        <w:t>»” (J 17,1.20). Modl</w:t>
      </w:r>
      <w:r w:rsidR="004D0255">
        <w:t>i</w:t>
      </w:r>
      <w:r w:rsidR="004D0255">
        <w:t>łeś się, Panie, za nas. Naucz nas modlić się za naszych braci i siostry.</w:t>
      </w:r>
    </w:p>
    <w:p w:rsidR="00F8626B" w:rsidRDefault="00F8626B" w:rsidP="00F8626B">
      <w:pPr>
        <w:pStyle w:val="NormalWeb"/>
        <w:ind w:firstLine="284"/>
      </w:pPr>
      <w:r>
        <w:rPr>
          <w:szCs w:val="23"/>
        </w:rPr>
        <w:t>L: Ojcze nasz. Zdrowaś Mario (10x). Chwała Ojcu. O mój Jezu.</w:t>
      </w:r>
    </w:p>
    <w:p w:rsidR="00F8626B" w:rsidRDefault="00F8626B" w:rsidP="00150490">
      <w:pPr>
        <w:spacing w:after="120"/>
        <w:rPr>
          <w:szCs w:val="23"/>
        </w:rPr>
      </w:pPr>
      <w:r>
        <w:rPr>
          <w:szCs w:val="23"/>
        </w:rPr>
        <w:t xml:space="preserve">P: Wierzę w Boga. </w:t>
      </w:r>
    </w:p>
    <w:p w:rsidR="00855E09" w:rsidRDefault="00855E09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/>
        <w:jc w:val="center"/>
      </w:pPr>
      <w:r>
        <w:rPr>
          <w:sz w:val="18"/>
        </w:rPr>
        <w:t xml:space="preserve">Opracowanie: Wspólnota Żywego Różańca Archidiecezji Krakowskiej. Redaktor: Ks. Stanisław Szczepaniec. Adres redakcji: ul. Franciszkańska 3, 31-004 Kraków; www.zr.diecezja.pl. </w:t>
      </w:r>
      <w:r>
        <w:rPr>
          <w:sz w:val="18"/>
        </w:rPr>
        <w:br/>
      </w:r>
      <w:hyperlink r:id="rId11" w:history="1">
        <w:r>
          <w:rPr>
            <w:rStyle w:val="Hipercze"/>
            <w:sz w:val="18"/>
          </w:rPr>
          <w:t>Wydawnictwo: wydawnictwo@stanislawbm.pl</w:t>
        </w:r>
      </w:hyperlink>
    </w:p>
    <w:sectPr w:rsidR="00855E09">
      <w:pgSz w:w="8391" w:h="11906"/>
      <w:pgMar w:top="567" w:right="567" w:bottom="426" w:left="567" w:header="708" w:footer="708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B0" w:rsidRDefault="00A949B0" w:rsidP="00363C35">
      <w:pPr>
        <w:spacing w:after="0"/>
      </w:pPr>
      <w:r>
        <w:separator/>
      </w:r>
    </w:p>
  </w:endnote>
  <w:endnote w:type="continuationSeparator" w:id="0">
    <w:p w:rsidR="00A949B0" w:rsidRDefault="00A949B0" w:rsidP="00363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B0" w:rsidRDefault="00A949B0" w:rsidP="00363C35">
      <w:pPr>
        <w:spacing w:after="0"/>
      </w:pPr>
      <w:r>
        <w:separator/>
      </w:r>
    </w:p>
  </w:footnote>
  <w:footnote w:type="continuationSeparator" w:id="0">
    <w:p w:rsidR="00A949B0" w:rsidRDefault="00A949B0" w:rsidP="00363C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7D4E6A"/>
    <w:multiLevelType w:val="singleLevel"/>
    <w:tmpl w:val="E71CA456"/>
    <w:lvl w:ilvl="0">
      <w:start w:val="43"/>
      <w:numFmt w:val="decimal"/>
      <w:lvlText w:val="%1."/>
      <w:lvlJc w:val="left"/>
      <w:pPr>
        <w:tabs>
          <w:tab w:val="num" w:pos="708"/>
        </w:tabs>
        <w:ind w:left="708" w:hanging="7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37"/>
    <w:rsid w:val="000056E3"/>
    <w:rsid w:val="00005AB7"/>
    <w:rsid w:val="00007B58"/>
    <w:rsid w:val="00024DB5"/>
    <w:rsid w:val="00033F6B"/>
    <w:rsid w:val="00033F72"/>
    <w:rsid w:val="00044FC2"/>
    <w:rsid w:val="000609D1"/>
    <w:rsid w:val="000616D2"/>
    <w:rsid w:val="00076CF3"/>
    <w:rsid w:val="000815B4"/>
    <w:rsid w:val="000B3F77"/>
    <w:rsid w:val="000C743D"/>
    <w:rsid w:val="000D2222"/>
    <w:rsid w:val="000D7F69"/>
    <w:rsid w:val="000E76CB"/>
    <w:rsid w:val="000F24BF"/>
    <w:rsid w:val="00112239"/>
    <w:rsid w:val="00120915"/>
    <w:rsid w:val="00150490"/>
    <w:rsid w:val="00191DC9"/>
    <w:rsid w:val="001B1F44"/>
    <w:rsid w:val="001C2182"/>
    <w:rsid w:val="001C53E6"/>
    <w:rsid w:val="001C5877"/>
    <w:rsid w:val="001F31A5"/>
    <w:rsid w:val="00210DCD"/>
    <w:rsid w:val="002322A0"/>
    <w:rsid w:val="002368D2"/>
    <w:rsid w:val="00266D00"/>
    <w:rsid w:val="002719F9"/>
    <w:rsid w:val="00273191"/>
    <w:rsid w:val="00275BB9"/>
    <w:rsid w:val="002764BF"/>
    <w:rsid w:val="002800E8"/>
    <w:rsid w:val="00280341"/>
    <w:rsid w:val="0029209C"/>
    <w:rsid w:val="002B2F23"/>
    <w:rsid w:val="002C673F"/>
    <w:rsid w:val="002D352A"/>
    <w:rsid w:val="002E3870"/>
    <w:rsid w:val="002E4972"/>
    <w:rsid w:val="002F12B2"/>
    <w:rsid w:val="002F38D3"/>
    <w:rsid w:val="002F43F5"/>
    <w:rsid w:val="002F6789"/>
    <w:rsid w:val="00303705"/>
    <w:rsid w:val="00313FEA"/>
    <w:rsid w:val="003245FF"/>
    <w:rsid w:val="003304E4"/>
    <w:rsid w:val="00332DCD"/>
    <w:rsid w:val="00354212"/>
    <w:rsid w:val="00361D4A"/>
    <w:rsid w:val="00363C35"/>
    <w:rsid w:val="00391B1F"/>
    <w:rsid w:val="003B1EFE"/>
    <w:rsid w:val="003F530B"/>
    <w:rsid w:val="003F59EA"/>
    <w:rsid w:val="00413212"/>
    <w:rsid w:val="0041480C"/>
    <w:rsid w:val="004216F6"/>
    <w:rsid w:val="00421F28"/>
    <w:rsid w:val="00436A45"/>
    <w:rsid w:val="004450A7"/>
    <w:rsid w:val="00445E8A"/>
    <w:rsid w:val="004469C5"/>
    <w:rsid w:val="0046672A"/>
    <w:rsid w:val="00475F1F"/>
    <w:rsid w:val="00481DE0"/>
    <w:rsid w:val="00493C2C"/>
    <w:rsid w:val="004C3ABC"/>
    <w:rsid w:val="004D0255"/>
    <w:rsid w:val="004D0AB7"/>
    <w:rsid w:val="004D6777"/>
    <w:rsid w:val="004E7D21"/>
    <w:rsid w:val="00502B33"/>
    <w:rsid w:val="0050710E"/>
    <w:rsid w:val="0052410B"/>
    <w:rsid w:val="00525A1D"/>
    <w:rsid w:val="00531FF5"/>
    <w:rsid w:val="00544FA0"/>
    <w:rsid w:val="005512D6"/>
    <w:rsid w:val="00563D21"/>
    <w:rsid w:val="00571414"/>
    <w:rsid w:val="0058032F"/>
    <w:rsid w:val="0058557F"/>
    <w:rsid w:val="00596EF6"/>
    <w:rsid w:val="00597567"/>
    <w:rsid w:val="005A1B85"/>
    <w:rsid w:val="005A238D"/>
    <w:rsid w:val="005A4EA1"/>
    <w:rsid w:val="005C2424"/>
    <w:rsid w:val="005E1AF4"/>
    <w:rsid w:val="005E3E66"/>
    <w:rsid w:val="005E4104"/>
    <w:rsid w:val="005E775D"/>
    <w:rsid w:val="005F4FD6"/>
    <w:rsid w:val="006119FB"/>
    <w:rsid w:val="006232C1"/>
    <w:rsid w:val="00626CAA"/>
    <w:rsid w:val="006354E1"/>
    <w:rsid w:val="006461C7"/>
    <w:rsid w:val="006623D3"/>
    <w:rsid w:val="00675246"/>
    <w:rsid w:val="006760C1"/>
    <w:rsid w:val="00683360"/>
    <w:rsid w:val="006979CA"/>
    <w:rsid w:val="006B2C84"/>
    <w:rsid w:val="006C59B1"/>
    <w:rsid w:val="006D1FF9"/>
    <w:rsid w:val="006E5815"/>
    <w:rsid w:val="007016D7"/>
    <w:rsid w:val="00706D4D"/>
    <w:rsid w:val="0072028F"/>
    <w:rsid w:val="007206B9"/>
    <w:rsid w:val="007342BD"/>
    <w:rsid w:val="007641E2"/>
    <w:rsid w:val="007736A6"/>
    <w:rsid w:val="00794298"/>
    <w:rsid w:val="00794E23"/>
    <w:rsid w:val="00795A47"/>
    <w:rsid w:val="007965FD"/>
    <w:rsid w:val="007A33E5"/>
    <w:rsid w:val="007A7830"/>
    <w:rsid w:val="007B0F33"/>
    <w:rsid w:val="007B463A"/>
    <w:rsid w:val="007D793E"/>
    <w:rsid w:val="0080579E"/>
    <w:rsid w:val="00823207"/>
    <w:rsid w:val="00855E09"/>
    <w:rsid w:val="0086510D"/>
    <w:rsid w:val="0087679B"/>
    <w:rsid w:val="00894D83"/>
    <w:rsid w:val="008C7416"/>
    <w:rsid w:val="008D43C7"/>
    <w:rsid w:val="008E667D"/>
    <w:rsid w:val="008F10A8"/>
    <w:rsid w:val="009021C1"/>
    <w:rsid w:val="00905BF2"/>
    <w:rsid w:val="00910984"/>
    <w:rsid w:val="00927B29"/>
    <w:rsid w:val="00932128"/>
    <w:rsid w:val="00941ACF"/>
    <w:rsid w:val="00973162"/>
    <w:rsid w:val="00973241"/>
    <w:rsid w:val="009A782F"/>
    <w:rsid w:val="009B08BA"/>
    <w:rsid w:val="009F17DF"/>
    <w:rsid w:val="00A02FA0"/>
    <w:rsid w:val="00A16920"/>
    <w:rsid w:val="00A33A4A"/>
    <w:rsid w:val="00A40484"/>
    <w:rsid w:val="00A431BB"/>
    <w:rsid w:val="00A71E13"/>
    <w:rsid w:val="00A949B0"/>
    <w:rsid w:val="00AA1C23"/>
    <w:rsid w:val="00AA55FC"/>
    <w:rsid w:val="00AA6C10"/>
    <w:rsid w:val="00AB2E69"/>
    <w:rsid w:val="00AB3FE3"/>
    <w:rsid w:val="00AC167F"/>
    <w:rsid w:val="00AC7E37"/>
    <w:rsid w:val="00AD7F2D"/>
    <w:rsid w:val="00AF23BB"/>
    <w:rsid w:val="00B028AE"/>
    <w:rsid w:val="00B0725A"/>
    <w:rsid w:val="00B1496A"/>
    <w:rsid w:val="00B27461"/>
    <w:rsid w:val="00B33E0A"/>
    <w:rsid w:val="00B415F9"/>
    <w:rsid w:val="00B451E2"/>
    <w:rsid w:val="00B45867"/>
    <w:rsid w:val="00B508DA"/>
    <w:rsid w:val="00B55EA2"/>
    <w:rsid w:val="00B648F1"/>
    <w:rsid w:val="00B72B61"/>
    <w:rsid w:val="00B83FB6"/>
    <w:rsid w:val="00B86E74"/>
    <w:rsid w:val="00B92EC9"/>
    <w:rsid w:val="00BA15EB"/>
    <w:rsid w:val="00BA3E96"/>
    <w:rsid w:val="00BD51F6"/>
    <w:rsid w:val="00BD7900"/>
    <w:rsid w:val="00BE623B"/>
    <w:rsid w:val="00C037FF"/>
    <w:rsid w:val="00C03F3A"/>
    <w:rsid w:val="00C116F5"/>
    <w:rsid w:val="00C21202"/>
    <w:rsid w:val="00C246A4"/>
    <w:rsid w:val="00C34D6D"/>
    <w:rsid w:val="00C4590C"/>
    <w:rsid w:val="00C65BCB"/>
    <w:rsid w:val="00C66A71"/>
    <w:rsid w:val="00C82B5D"/>
    <w:rsid w:val="00CB2ED1"/>
    <w:rsid w:val="00CE4F01"/>
    <w:rsid w:val="00D028AD"/>
    <w:rsid w:val="00D0649D"/>
    <w:rsid w:val="00D12D09"/>
    <w:rsid w:val="00D33FB0"/>
    <w:rsid w:val="00D405BC"/>
    <w:rsid w:val="00D7555C"/>
    <w:rsid w:val="00D843E9"/>
    <w:rsid w:val="00DB3DA7"/>
    <w:rsid w:val="00DC1432"/>
    <w:rsid w:val="00DD6670"/>
    <w:rsid w:val="00DE0D86"/>
    <w:rsid w:val="00E0182C"/>
    <w:rsid w:val="00E1003D"/>
    <w:rsid w:val="00E1409D"/>
    <w:rsid w:val="00E21867"/>
    <w:rsid w:val="00E231DD"/>
    <w:rsid w:val="00E255B1"/>
    <w:rsid w:val="00E40EFD"/>
    <w:rsid w:val="00E5153B"/>
    <w:rsid w:val="00E7104C"/>
    <w:rsid w:val="00E712E2"/>
    <w:rsid w:val="00E84117"/>
    <w:rsid w:val="00E86627"/>
    <w:rsid w:val="00EB009B"/>
    <w:rsid w:val="00EC1C33"/>
    <w:rsid w:val="00ED0EDA"/>
    <w:rsid w:val="00EE26D0"/>
    <w:rsid w:val="00EE7C75"/>
    <w:rsid w:val="00EF3000"/>
    <w:rsid w:val="00F05263"/>
    <w:rsid w:val="00F123A0"/>
    <w:rsid w:val="00F3138A"/>
    <w:rsid w:val="00F31F28"/>
    <w:rsid w:val="00F33155"/>
    <w:rsid w:val="00F35944"/>
    <w:rsid w:val="00F35ED6"/>
    <w:rsid w:val="00F727CF"/>
    <w:rsid w:val="00F7304F"/>
    <w:rsid w:val="00F8626B"/>
    <w:rsid w:val="00FA15FA"/>
    <w:rsid w:val="00FA70CD"/>
    <w:rsid w:val="00FC78C1"/>
    <w:rsid w:val="00FD0485"/>
    <w:rsid w:val="00FD2431"/>
    <w:rsid w:val="00FD2B2E"/>
    <w:rsid w:val="00FE254F"/>
    <w:rsid w:val="00FE2B50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F09374-CA57-4023-B8FC-6B9230F4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kern w:val="2"/>
      <w:sz w:val="23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/>
      <w:ind w:left="0" w:firstLine="284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180" w:after="120"/>
      <w:ind w:left="0"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120"/>
      <w:ind w:left="0" w:firstLine="0"/>
      <w:jc w:val="left"/>
      <w:outlineLvl w:val="2"/>
    </w:pPr>
    <w:rPr>
      <w:rFonts w:ascii="Times New Roman Pogrubiona" w:hAnsi="Times New Roman Pogrubiona" w:cs="Times New Roman Pogrubiona"/>
      <w:b/>
      <w:bCs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/>
      <w:ind w:left="0" w:firstLine="28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/>
      <w:ind w:left="0" w:firstLine="284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4">
    <w:name w:val="Domyślna czcionka akapitu14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3">
    <w:name w:val="Domyślna czcionka akapitu13"/>
  </w:style>
  <w:style w:type="character" w:customStyle="1" w:styleId="Domylnaczcionkaakapitu12">
    <w:name w:val="Domyślna czcionka akapitu12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character" w:customStyle="1" w:styleId="footnotereference">
    <w:name w:val="footnote reference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txt">
    <w:name w:val="txt"/>
    <w:basedOn w:val="DefaultParagraphFont"/>
  </w:style>
  <w:style w:type="character" w:customStyle="1" w:styleId="werset">
    <w:name w:val="werset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umerowanieZnakZnak">
    <w:name w:val="Numerowanie Znak Znak"/>
    <w:rPr>
      <w:sz w:val="22"/>
      <w:szCs w:val="24"/>
      <w:lang w:val="pl-PL" w:bidi="ar-SA"/>
    </w:rPr>
  </w:style>
  <w:style w:type="character" w:customStyle="1" w:styleId="apple-converted-space">
    <w:name w:val="apple-converted-space"/>
    <w:basedOn w:val="DefaultParagraphFont"/>
  </w:style>
  <w:style w:type="character" w:customStyle="1" w:styleId="mw-headline">
    <w:name w:val="mw-headline"/>
    <w:basedOn w:val="DefaultParagraphFont"/>
  </w:style>
  <w:style w:type="character" w:customStyle="1" w:styleId="mw-editsection">
    <w:name w:val="mw-editsection"/>
    <w:basedOn w:val="DefaultParagraphFont"/>
  </w:style>
  <w:style w:type="character" w:customStyle="1" w:styleId="mw-editsection-bracket">
    <w:name w:val="mw-editsection-bracket"/>
    <w:basedOn w:val="DefaultParagraphFont"/>
  </w:style>
  <w:style w:type="character" w:customStyle="1" w:styleId="mw-editsection-divider">
    <w:name w:val="mw-editsection-divider"/>
    <w:basedOn w:val="DefaultParagraphFont"/>
  </w:style>
  <w:style w:type="character" w:customStyle="1" w:styleId="NagwekZnak">
    <w:name w:val="Nagłówek Znak"/>
    <w:rPr>
      <w:sz w:val="22"/>
      <w:szCs w:val="24"/>
    </w:rPr>
  </w:style>
  <w:style w:type="character" w:customStyle="1" w:styleId="StopkaZnak">
    <w:name w:val="Stopka Znak"/>
    <w:rPr>
      <w:sz w:val="22"/>
      <w:szCs w:val="24"/>
    </w:rPr>
  </w:style>
  <w:style w:type="character" w:customStyle="1" w:styleId="TekstprzypisukocowegoZnak">
    <w:name w:val="Tekst przypisu końcowego Znak"/>
    <w:basedOn w:val="DefaultParagraphFont"/>
  </w:style>
  <w:style w:type="character" w:customStyle="1" w:styleId="endnotereference">
    <w:name w:val="endnote reference"/>
    <w:rPr>
      <w:vertAlign w:val="superscript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highlight">
    <w:name w:val="highlight"/>
    <w:basedOn w:val="DefaultParagraphFont"/>
  </w:style>
  <w:style w:type="character" w:customStyle="1" w:styleId="st">
    <w:name w:val="st"/>
    <w:basedOn w:val="DefaultParagraph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 w:val="0"/>
      <w:caps w:val="0"/>
      <w:smallCaps w:val="0"/>
      <w:strike w:val="0"/>
      <w:dstrike w:val="0"/>
      <w:position w:val="0"/>
      <w:sz w:val="23"/>
      <w:u w:val="none"/>
      <w:effect w:val="none"/>
      <w:vertAlign w:val="baseline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TekstprzypisukocowegoZnak1">
    <w:name w:val="Tekst przypisu końcowego Znak1"/>
    <w:rPr>
      <w:color w:val="00000A"/>
      <w:kern w:val="2"/>
      <w:lang w:eastAsia="zh-CN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nr1">
    <w:name w:val="nr1"/>
    <w:rPr>
      <w:rFonts w:ascii="Georgia" w:hAnsi="Georgia" w:cs="Georgia" w:hint="default"/>
      <w:b/>
      <w:bCs/>
      <w:color w:val="D8B800"/>
      <w:sz w:val="18"/>
      <w:szCs w:val="18"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3">
    <w:name w:val="Legenda13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2">
    <w:name w:val="Legenda12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1">
    <w:name w:val="Legenda11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0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5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styleId="Nagwek">
    <w:name w:val="header"/>
    <w:basedOn w:val="Normalny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ormalWeb">
    <w:name w:val="Normal (Web)"/>
    <w:basedOn w:val="Normalny"/>
    <w:pPr>
      <w:ind w:firstLine="0"/>
    </w:pPr>
    <w:rPr>
      <w:color w:val="00000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pPr>
      <w:spacing w:before="280" w:after="280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pPr>
      <w:spacing w:after="0"/>
    </w:pPr>
  </w:style>
  <w:style w:type="paragraph" w:customStyle="1" w:styleId="footnotetext">
    <w:name w:val="footnote text"/>
    <w:basedOn w:val="Normalny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BodyText2">
    <w:name w:val="Body Text 2"/>
    <w:basedOn w:val="Normalny"/>
    <w:pPr>
      <w:ind w:firstLine="0"/>
    </w:pPr>
  </w:style>
  <w:style w:type="paragraph" w:customStyle="1" w:styleId="BodyTextIndent2">
    <w:name w:val="Body Text Indent 2"/>
    <w:basedOn w:val="Normalny"/>
    <w:rPr>
      <w:i/>
      <w:iCs/>
    </w:rPr>
  </w:style>
  <w:style w:type="paragraph" w:customStyle="1" w:styleId="DocumentMap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pPr>
      <w:spacing w:before="280" w:after="280" w:line="260" w:lineRule="atLeast"/>
      <w:ind w:firstLine="0"/>
      <w:jc w:val="left"/>
    </w:pPr>
    <w:rPr>
      <w:rFonts w:ascii="Garamond" w:hAnsi="Garamond" w:cs="Garamond"/>
      <w:color w:val="002050"/>
      <w:szCs w:val="22"/>
    </w:rPr>
  </w:style>
  <w:style w:type="paragraph" w:customStyle="1" w:styleId="CM5">
    <w:name w:val="CM5"/>
    <w:basedOn w:val="Normalny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 w:cs="JLKJM P+ Orig Garmnd PL"/>
      <w:sz w:val="24"/>
    </w:rPr>
  </w:style>
  <w:style w:type="paragraph" w:customStyle="1" w:styleId="koment">
    <w:name w:val="koment"/>
    <w:basedOn w:val="Normalny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pPr>
      <w:spacing w:before="280" w:after="280" w:line="260" w:lineRule="atLeast"/>
      <w:ind w:firstLine="0"/>
      <w:jc w:val="left"/>
    </w:pPr>
    <w:rPr>
      <w:rFonts w:ascii="Trebuchet MS" w:hAnsi="Trebuchet MS" w:cs="Trebuchet MS"/>
      <w:color w:val="000000"/>
      <w:sz w:val="20"/>
      <w:szCs w:val="20"/>
    </w:rPr>
  </w:style>
  <w:style w:type="paragraph" w:customStyle="1" w:styleId="redactor">
    <w:name w:val="redactor"/>
    <w:basedOn w:val="Normalny"/>
    <w:pPr>
      <w:spacing w:before="280" w:after="280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customStyle="1" w:styleId="HTMLPreformatted">
    <w:name w:val="HTML Preformatted"/>
    <w:basedOn w:val="Normalny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pPr>
      <w:widowControl w:val="0"/>
      <w:spacing w:before="120" w:after="0"/>
    </w:pPr>
  </w:style>
  <w:style w:type="paragraph" w:customStyle="1" w:styleId="ListBullet2">
    <w:name w:val="List Bullet 2"/>
    <w:basedOn w:val="Normalny"/>
  </w:style>
  <w:style w:type="paragraph" w:customStyle="1" w:styleId="NoSpacing">
    <w:name w:val="No Spacing"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paragraph" w:customStyle="1" w:styleId="endnotetext">
    <w:name w:val="endnote text"/>
    <w:basedOn w:val="Normalny"/>
    <w:pPr>
      <w:spacing w:after="0"/>
    </w:pPr>
    <w:rPr>
      <w:sz w:val="20"/>
      <w:szCs w:val="20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tabs>
        <w:tab w:val="clear" w:pos="284"/>
        <w:tab w:val="clear" w:pos="567"/>
      </w:tabs>
      <w:spacing w:before="280" w:after="280"/>
      <w:ind w:firstLine="0"/>
      <w:jc w:val="left"/>
    </w:pPr>
    <w:rPr>
      <w:color w:val="auto"/>
      <w:kern w:val="0"/>
      <w:sz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wstpniesformatowany">
    <w:name w:val="Tekst wstępnie sformatowany"/>
    <w:basedOn w:val="Normalny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character" w:styleId="Odwoanieprzypisudolnego">
    <w:name w:val="footnote reference"/>
    <w:semiHidden/>
    <w:rsid w:val="00363C35"/>
    <w:rPr>
      <w:vertAlign w:val="superscript"/>
    </w:rPr>
  </w:style>
  <w:style w:type="paragraph" w:customStyle="1" w:styleId="Ma3yWciety">
    <w:name w:val="Ma3yWciety"/>
    <w:basedOn w:val="Normalny"/>
    <w:rsid w:val="00B55EA2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left="567" w:right="21" w:firstLine="0"/>
      <w:textAlignment w:val="baseline"/>
    </w:pPr>
    <w:rPr>
      <w:rFonts w:ascii="PL Times New Roman" w:hAnsi="PL Times New Roman"/>
      <w:color w:val="auto"/>
      <w:kern w:val="0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4D6777"/>
    <w:pPr>
      <w:ind w:left="566" w:hanging="283"/>
      <w:contextualSpacing/>
    </w:pPr>
  </w:style>
  <w:style w:type="paragraph" w:customStyle="1" w:styleId="Tytu3y">
    <w:name w:val="Tytu3y"/>
    <w:basedOn w:val="Normalny"/>
    <w:rsid w:val="008F10A8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right="21" w:firstLine="0"/>
      <w:textAlignment w:val="baseline"/>
    </w:pPr>
    <w:rPr>
      <w:rFonts w:ascii="PL Times New Roman" w:hAnsi="PL Times New Roman"/>
      <w:b/>
      <w:color w:val="auto"/>
      <w:kern w:val="0"/>
      <w:sz w:val="26"/>
      <w:szCs w:val="20"/>
      <w:lang w:eastAsia="pl-PL"/>
    </w:rPr>
  </w:style>
  <w:style w:type="paragraph" w:customStyle="1" w:styleId="Ma3y">
    <w:name w:val="Ma3y"/>
    <w:basedOn w:val="Normalny"/>
    <w:rsid w:val="008F10A8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right="21" w:firstLine="0"/>
      <w:textAlignment w:val="baseline"/>
    </w:pPr>
    <w:rPr>
      <w:rFonts w:ascii="PL Times New Roman" w:hAnsi="PL Times New Roman"/>
      <w:color w:val="auto"/>
      <w:kern w:val="0"/>
      <w:sz w:val="22"/>
      <w:szCs w:val="20"/>
      <w:lang w:eastAsia="pl-PL"/>
    </w:rPr>
  </w:style>
  <w:style w:type="paragraph" w:customStyle="1" w:styleId="Ma3ywciety0">
    <w:name w:val="Ma3y wciety"/>
    <w:basedOn w:val="Ma3y"/>
    <w:rsid w:val="008F10A8"/>
    <w:pPr>
      <w:ind w:left="709"/>
    </w:pPr>
  </w:style>
  <w:style w:type="character" w:styleId="Odwoaniedokomentarza">
    <w:name w:val="annotation reference"/>
    <w:uiPriority w:val="99"/>
    <w:semiHidden/>
    <w:unhideWhenUsed/>
    <w:rsid w:val="00332DC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32DC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32DCD"/>
    <w:rPr>
      <w:color w:val="00000A"/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332DCD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332DCD"/>
    <w:rPr>
      <w:b/>
      <w:bCs/>
      <w:color w:val="00000A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2DCD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kocowego">
    <w:name w:val="endnote reference"/>
    <w:uiPriority w:val="99"/>
    <w:semiHidden/>
    <w:unhideWhenUsed/>
    <w:rsid w:val="007D7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cp:lastModifiedBy>Magda Łużna</cp:lastModifiedBy>
  <cp:revision>2</cp:revision>
  <cp:lastPrinted>2020-07-08T15:10:00Z</cp:lastPrinted>
  <dcterms:created xsi:type="dcterms:W3CDTF">2021-01-21T21:14:00Z</dcterms:created>
  <dcterms:modified xsi:type="dcterms:W3CDTF">2021-01-21T21:14:00Z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