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5455"/>
        <w:gridCol w:w="852"/>
      </w:tblGrid>
      <w:tr w:rsidR="00E85619" w:rsidRPr="00B171AC" w:rsidTr="00E85619">
        <w:trPr>
          <w:cantSplit/>
          <w:trHeight w:val="1604"/>
        </w:trPr>
        <w:tc>
          <w:tcPr>
            <w:tcW w:w="9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19" w:rsidRDefault="00E85619" w:rsidP="00DF11F7"/>
          <w:p w:rsidR="00E85619" w:rsidRDefault="00E85619" w:rsidP="00DF11F7">
            <w:pPr>
              <w:tabs>
                <w:tab w:val="left" w:pos="0"/>
              </w:tabs>
              <w:ind w:firstLine="0"/>
            </w:pPr>
            <w:r>
              <w:rPr>
                <w:b/>
                <w:smallCaps/>
                <w:noProof/>
                <w:sz w:val="23"/>
                <w:szCs w:val="23"/>
              </w:rPr>
              <w:drawing>
                <wp:inline distT="0" distB="0" distL="0" distR="0" wp14:anchorId="479A6C3A" wp14:editId="0A36CB09">
                  <wp:extent cx="523239" cy="5375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Żywego Różań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667" cy="53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5619" w:rsidRPr="00B171AC" w:rsidRDefault="00E85619" w:rsidP="00DF11F7"/>
        </w:tc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E85619" w:rsidRPr="0059695A" w:rsidRDefault="00E85619" w:rsidP="003A5EF5">
            <w:pPr>
              <w:spacing w:before="60" w:after="120"/>
              <w:ind w:firstLine="0"/>
              <w:jc w:val="center"/>
              <w:rPr>
                <w:rFonts w:ascii="Arial Narrow" w:hAnsi="Arial Narrow"/>
                <w:b/>
                <w:bCs/>
                <w:sz w:val="68"/>
                <w:szCs w:val="48"/>
              </w:rPr>
            </w:pPr>
            <w:r w:rsidRPr="003A5EF5">
              <w:rPr>
                <w:rFonts w:ascii="Arial Narrow" w:hAnsi="Arial Narrow"/>
                <w:b/>
                <w:bCs/>
                <w:sz w:val="80"/>
                <w:szCs w:val="48"/>
              </w:rPr>
              <w:t>ZELATOR</w:t>
            </w:r>
          </w:p>
          <w:p w:rsidR="00E85619" w:rsidRPr="00B171AC" w:rsidRDefault="003A5EF5" w:rsidP="003A5EF5">
            <w:pPr>
              <w:spacing w:before="120"/>
              <w:ind w:firstLine="0"/>
              <w:jc w:val="center"/>
            </w:pPr>
            <w:r>
              <w:t>czerwiec</w:t>
            </w:r>
            <w:r w:rsidR="00E85619" w:rsidRPr="00B171AC">
              <w:t xml:space="preserve"> </w:t>
            </w:r>
            <w:r w:rsidR="00E85619" w:rsidRPr="00B171AC">
              <w:rPr>
                <w:sz w:val="20"/>
              </w:rPr>
              <w:t>2015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5619" w:rsidRPr="00B171AC" w:rsidRDefault="003A5EF5" w:rsidP="00DF11F7">
            <w:pPr>
              <w:spacing w:before="360"/>
              <w:ind w:firstLine="0"/>
              <w:jc w:val="center"/>
              <w:rPr>
                <w:rFonts w:ascii="Arial Narrow" w:hAnsi="Arial Narrow"/>
                <w:sz w:val="72"/>
              </w:rPr>
            </w:pPr>
            <w:r>
              <w:rPr>
                <w:rFonts w:ascii="Arial Narrow" w:hAnsi="Arial Narrow"/>
                <w:sz w:val="72"/>
              </w:rPr>
              <w:t>2</w:t>
            </w:r>
            <w:r w:rsidR="00E85619">
              <w:rPr>
                <w:rFonts w:ascii="Arial Narrow" w:hAnsi="Arial Narrow"/>
                <w:sz w:val="72"/>
              </w:rPr>
              <w:t xml:space="preserve">     </w:t>
            </w:r>
          </w:p>
          <w:p w:rsidR="00E85619" w:rsidRPr="00B171AC" w:rsidRDefault="00E85619" w:rsidP="00DF11F7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E85619" w:rsidRPr="003F35D3" w:rsidRDefault="00E85619" w:rsidP="00E85619">
      <w:pPr>
        <w:rPr>
          <w:color w:val="548DD4" w:themeColor="text2" w:themeTint="99"/>
          <w:sz w:val="21"/>
          <w:szCs w:val="21"/>
          <w:highlight w:val="yellow"/>
        </w:rPr>
      </w:pPr>
    </w:p>
    <w:p w:rsidR="00E85619" w:rsidRDefault="003A5EF5" w:rsidP="00E85619">
      <w:pPr>
        <w:pStyle w:val="Nagwek2"/>
      </w:pPr>
      <w:r>
        <w:t>Pielgrzymka Żywego Różańca do Częstochowy</w:t>
      </w:r>
    </w:p>
    <w:p w:rsidR="007015DB" w:rsidRDefault="00E85619" w:rsidP="003A5EF5">
      <w:r w:rsidRPr="0059695A">
        <w:t xml:space="preserve">W </w:t>
      </w:r>
      <w:r w:rsidR="003A5EF5">
        <w:t xml:space="preserve">sobotę, 6 czerwca, odbyła się III </w:t>
      </w:r>
      <w:r w:rsidR="003C2A72">
        <w:t>O</w:t>
      </w:r>
      <w:r w:rsidR="003A5EF5">
        <w:t xml:space="preserve">gólnopolska </w:t>
      </w:r>
      <w:r w:rsidR="003C2A72">
        <w:t>P</w:t>
      </w:r>
      <w:r w:rsidR="003A5EF5">
        <w:t>ielgrzymka Żywego Różańca do Częstochowy. Według oceny organizatorów uczestniczyło w niej ok. 35 tys. pielgrzymów i ponad 300 kapłanów.</w:t>
      </w:r>
      <w:r w:rsidR="00BF75E5">
        <w:t xml:space="preserve"> Główną intencją wspólnej modlitwy była rodzina. Uczestnicy prosili Boga za przyczyną Maryi o błogosławieństwo dla wszystkich rodzin, a także dla Synodu B</w:t>
      </w:r>
      <w:r w:rsidR="00BF75E5">
        <w:t>i</w:t>
      </w:r>
      <w:r w:rsidR="00BF75E5">
        <w:t xml:space="preserve">skupów, który będzie poświęcony tej tematyce. </w:t>
      </w:r>
    </w:p>
    <w:p w:rsidR="007015DB" w:rsidRDefault="007015DB" w:rsidP="003A5EF5">
      <w:r>
        <w:t xml:space="preserve">Świadectwem siły modlitwy różańcowej i mocy Pana Jezusa podzielili się państwo Barbara i Dariusz Kowalscy, małżonkowie z 21-letnim stażem. Wspólną modlitwę różańcową w intencji rodzin poprowadzili: o. Stanisław </w:t>
      </w:r>
      <w:proofErr w:type="spellStart"/>
      <w:r>
        <w:t>Przepierski</w:t>
      </w:r>
      <w:proofErr w:type="spellEnd"/>
      <w:r>
        <w:t xml:space="preserve"> OP, małżonkowie i ich czworo dzieci z archidiecezji warsza</w:t>
      </w:r>
      <w:r>
        <w:t>w</w:t>
      </w:r>
      <w:r>
        <w:t xml:space="preserve">skiej. </w:t>
      </w:r>
      <w:r w:rsidR="003A5EF5">
        <w:t>Uroczyst</w:t>
      </w:r>
      <w:r w:rsidR="00BF75E5">
        <w:t xml:space="preserve">ej </w:t>
      </w:r>
      <w:r w:rsidR="003A5EF5">
        <w:t>Msz</w:t>
      </w:r>
      <w:r w:rsidR="00BF75E5">
        <w:t>y</w:t>
      </w:r>
      <w:r w:rsidR="003A5EF5">
        <w:t xml:space="preserve"> święt</w:t>
      </w:r>
      <w:r w:rsidR="00BF75E5">
        <w:t>ej</w:t>
      </w:r>
      <w:r w:rsidR="003A5EF5">
        <w:t xml:space="preserve"> </w:t>
      </w:r>
      <w:r w:rsidR="00BF75E5">
        <w:t>przewodniczył</w:t>
      </w:r>
      <w:r w:rsidR="003A5EF5">
        <w:t xml:space="preserve"> i homilię wygłosił ks. bp Stanisław Stefanek z Łom</w:t>
      </w:r>
      <w:r>
        <w:t>ży. Przypomniał on, że modlitwa o pokój i za rodzinę to stałe intencje papieża Franciszka. Dzięki modlitwie patrzymy na siebie oczami Pana Boga. Owocem wspólnej modlitwy jest trwanie rodz</w:t>
      </w:r>
      <w:r>
        <w:t>i</w:t>
      </w:r>
      <w:r>
        <w:t>ny, gdy pojawiają się trudności. Receptą na skargi rodziców, którzy m</w:t>
      </w:r>
      <w:r>
        <w:t>ó</w:t>
      </w:r>
      <w:r>
        <w:t>wią, że tracą kontakt ze swoimi dziećmi, powinien być różaniec.</w:t>
      </w:r>
    </w:p>
    <w:p w:rsidR="00B05FC7" w:rsidRDefault="00EA7B5F" w:rsidP="003A5EF5">
      <w:r>
        <w:t>W pielgrzymce wzięli udział przedstawiciele wielu parafii naszej arch</w:t>
      </w:r>
      <w:r>
        <w:t>i</w:t>
      </w:r>
      <w:r>
        <w:t xml:space="preserve">diecezji ze swoimi duszpasterzami. </w:t>
      </w:r>
      <w:r w:rsidR="00B05FC7">
        <w:t>Była też obecna grupa wolontariuszy Światowych Dni Młodzieży. Prowadzili program słowno-muzyczny i sw</w:t>
      </w:r>
      <w:r w:rsidR="00B05FC7">
        <w:t>o</w:t>
      </w:r>
      <w:r w:rsidR="00B05FC7">
        <w:t>im śpiewem włączali się w różne części pielgrzymki.</w:t>
      </w:r>
    </w:p>
    <w:p w:rsidR="003C2A72" w:rsidRDefault="003C2A72" w:rsidP="003C2A72">
      <w:pPr>
        <w:pStyle w:val="Nagwek2"/>
      </w:pPr>
      <w:r>
        <w:t>List dziękczynny dla zelatorów</w:t>
      </w:r>
    </w:p>
    <w:p w:rsidR="003C2A72" w:rsidRDefault="003C2A72" w:rsidP="003C2A72">
      <w:r>
        <w:t>W poprzednim numerze „Zelatora” została skierowana prośba o przek</w:t>
      </w:r>
      <w:r>
        <w:t>a</w:t>
      </w:r>
      <w:r>
        <w:t>zanie z parafii listy zelatorów, którzy posługują więcej niż 25 lat. Dotyc</w:t>
      </w:r>
      <w:r>
        <w:t>h</w:t>
      </w:r>
      <w:r>
        <w:t>czas dotarło tylko kilka takich zgłoszeń. Prosimy o dalsze informacje. Na liście należy zamieścić imię i nazwisko, rok rozpoczęcia posługi zelatora oraz parafię, w której tę posługę spełnia. Chodzi o przygotowanie dzię</w:t>
      </w:r>
      <w:r>
        <w:t>k</w:t>
      </w:r>
      <w:r>
        <w:t xml:space="preserve">czynnego listu podpisanego przez Księdza Kardynała. </w:t>
      </w:r>
    </w:p>
    <w:p w:rsidR="00E85619" w:rsidRDefault="00E85619" w:rsidP="00E85619">
      <w:pPr>
        <w:pStyle w:val="Nagwek2"/>
      </w:pPr>
      <w:r>
        <w:lastRenderedPageBreak/>
        <w:t>Rekolekcje „Na różańcowym szlaku”</w:t>
      </w:r>
    </w:p>
    <w:p w:rsidR="00EA7B5F" w:rsidRDefault="00EA7B5F" w:rsidP="00EA7B5F">
      <w:r>
        <w:t xml:space="preserve">W poprzednim numerze „Zelatora” zostały </w:t>
      </w:r>
      <w:r w:rsidR="00E85619" w:rsidRPr="00E4169F">
        <w:t xml:space="preserve">zapowiedziane rekolekcje dla członków i zelatorów Żywego Różańca. </w:t>
      </w:r>
      <w:r>
        <w:t>Pierwsza seria</w:t>
      </w:r>
      <w:r w:rsidR="007015DB">
        <w:t xml:space="preserve"> </w:t>
      </w:r>
      <w:r>
        <w:t>nie odbyła</w:t>
      </w:r>
      <w:r w:rsidR="00BF75E5">
        <w:t xml:space="preserve"> się</w:t>
      </w:r>
      <w:r>
        <w:t xml:space="preserve">, gdyż nie było na nią chętnych. W drugiej, która miała miejsce w parafii św. Jadwigi Królowej na </w:t>
      </w:r>
      <w:proofErr w:type="spellStart"/>
      <w:r>
        <w:t>Krowodrzy</w:t>
      </w:r>
      <w:proofErr w:type="spellEnd"/>
      <w:r>
        <w:t xml:space="preserve"> w Krakowie, wzięło udział 30 osób, a</w:t>
      </w:r>
      <w:r w:rsidR="00BF75E5">
        <w:t>le</w:t>
      </w:r>
      <w:r>
        <w:t xml:space="preserve"> w niektórych spotkaniach uczestniczyło ponad 50 osób.</w:t>
      </w:r>
    </w:p>
    <w:p w:rsidR="00EA7B5F" w:rsidRDefault="00EA7B5F" w:rsidP="00EA7B5F">
      <w:r>
        <w:t>Rekolekcje poświęcone były głębszemu przeżywaniu radosnych taje</w:t>
      </w:r>
      <w:r>
        <w:t>m</w:t>
      </w:r>
      <w:r>
        <w:t>nic różańca</w:t>
      </w:r>
      <w:r w:rsidR="007F26C6">
        <w:t xml:space="preserve"> oraz</w:t>
      </w:r>
      <w:r>
        <w:t xml:space="preserve"> umiejętności przeżywania modlitwy różańcowej w sposób wskazany przez Ojca Świętego Jana Pawła II w liście apostolskim „Ros</w:t>
      </w:r>
      <w:r>
        <w:t>a</w:t>
      </w:r>
      <w:r>
        <w:t xml:space="preserve">rium </w:t>
      </w:r>
      <w:proofErr w:type="spellStart"/>
      <w:r>
        <w:t>Virginis</w:t>
      </w:r>
      <w:proofErr w:type="spellEnd"/>
      <w:r>
        <w:t xml:space="preserve"> </w:t>
      </w:r>
      <w:proofErr w:type="spellStart"/>
      <w:r>
        <w:t>Mariae</w:t>
      </w:r>
      <w:proofErr w:type="spellEnd"/>
      <w:r>
        <w:t>”. Rozmowy prowadzone w czasie rekolekcji w Kr</w:t>
      </w:r>
      <w:r>
        <w:t>a</w:t>
      </w:r>
      <w:r>
        <w:t xml:space="preserve">kowie wskazywały na to, że potrzebne są rekolekcje wprowadzające w świat modlitwy różańcowej. </w:t>
      </w:r>
      <w:r w:rsidR="00BF75E5">
        <w:t>Musimy się nawzajem wspierać, aby ta wsp</w:t>
      </w:r>
      <w:r w:rsidR="00BF75E5">
        <w:t>a</w:t>
      </w:r>
      <w:r w:rsidR="00BF75E5">
        <w:t>niała modlitwa nie była zagrożona powierzchownością</w:t>
      </w:r>
      <w:r>
        <w:t xml:space="preserve">. </w:t>
      </w:r>
    </w:p>
    <w:p w:rsidR="00EA7B5F" w:rsidRDefault="00EA7B5F" w:rsidP="00EA7B5F">
      <w:pPr>
        <w:pStyle w:val="Nagwek3"/>
      </w:pPr>
      <w:r>
        <w:t>Świadectwa</w:t>
      </w:r>
    </w:p>
    <w:p w:rsidR="00110CA7" w:rsidRDefault="00110CA7" w:rsidP="00EA7B5F">
      <w:r>
        <w:t>Na zakończenie rekolekcji uczestnicy zostali poproszeni o napisanie krótkiej refleksji lub modlitwy. Ich słowa potwierdzają potrzebę takich spotkań. Choć każdy się stara dobrze modlić, to jednak przyjrzenie się sp</w:t>
      </w:r>
      <w:r>
        <w:t>e</w:t>
      </w:r>
      <w:r>
        <w:t>cyfice modlitwy różańcowej jest wielką pomocą.</w:t>
      </w:r>
    </w:p>
    <w:p w:rsidR="00EA7B5F" w:rsidRDefault="00110CA7" w:rsidP="00EA7B5F">
      <w:r>
        <w:t xml:space="preserve">Krótkie świadectwa uczestników, </w:t>
      </w:r>
      <w:r w:rsidR="00BF75E5">
        <w:t xml:space="preserve">a raczej uczestniczek, gdyż </w:t>
      </w:r>
      <w:r>
        <w:t xml:space="preserve">większość stanowiły Panie, dotyczyły głównie dwóch zagadnień. Pierwszym </w:t>
      </w:r>
      <w:r w:rsidR="00BF75E5">
        <w:t>było</w:t>
      </w:r>
      <w:r>
        <w:t xml:space="preserve"> zwrócenie uwagi na wiele szczegółów, z których składa się każda dziesią</w:t>
      </w:r>
      <w:r>
        <w:t>t</w:t>
      </w:r>
      <w:r>
        <w:t>ka różańca, a drugim jest tematyka, zamieszczona w zeszycie „Rekolekcje na różańcowym szlaku”. Jest w nich mowa o Bogu w Trójcy Świętej Jed</w:t>
      </w:r>
      <w:r>
        <w:t>y</w:t>
      </w:r>
      <w:r>
        <w:t>nymi i Jego objawiani</w:t>
      </w:r>
      <w:r w:rsidR="003C2A72">
        <w:t>u</w:t>
      </w:r>
      <w:r>
        <w:t xml:space="preserve"> się w radosnych tajemnicach różańca, a także o rodzinie, której tajemnicę objawiają w sposób szczególny radosne tajemn</w:t>
      </w:r>
      <w:r>
        <w:t>i</w:t>
      </w:r>
      <w:r>
        <w:t>ce różańca.</w:t>
      </w:r>
      <w:r w:rsidR="00533473">
        <w:t xml:space="preserve"> Oto kilka świadectw:</w:t>
      </w:r>
    </w:p>
    <w:p w:rsidR="003C2A72" w:rsidRPr="00EA7B5F" w:rsidRDefault="00533473" w:rsidP="003C2A72">
      <w:r>
        <w:t>„Dziękuję za ukazanie żywej obecności Boga Ojca w każdej tajemnicy różańca świętego” (Anna).</w:t>
      </w:r>
      <w:r w:rsidR="003C2A72">
        <w:t xml:space="preserve"> </w:t>
      </w:r>
    </w:p>
    <w:p w:rsidR="00533473" w:rsidRDefault="00533473" w:rsidP="00EA7B5F">
      <w:r>
        <w:t>„Rozważania nad tajemnicami różańcowymi pobudziły mnie do wię</w:t>
      </w:r>
      <w:r>
        <w:t>k</w:t>
      </w:r>
      <w:r>
        <w:t>szej wdzięczności Panu Jezusowi za wszystko, co dla mnie i dla nas ucz</w:t>
      </w:r>
      <w:r>
        <w:t>y</w:t>
      </w:r>
      <w:r>
        <w:t>nił. Dzięki za Jego obecność w moim, naszym życiu, w domu, razem z Ojcem i Duchem Świętym, Matką Maryją i św. Józefem” (Lucyna).</w:t>
      </w:r>
    </w:p>
    <w:p w:rsidR="00533473" w:rsidRDefault="00533473" w:rsidP="00EA7B5F">
      <w:r>
        <w:t>„Pragnę Bogu wyrazić wdzięczność za błogosławiony czas rekolekcji, podczas których odkryłam aspekt rodzinny w tajemnicach radosnych. P</w:t>
      </w:r>
      <w:r>
        <w:t>o</w:t>
      </w:r>
      <w:r>
        <w:t>zwala mi to moją rodzinę, moje problemy i radości zanurzyć w rodzinie Jezusa, odkryć jeszcze bardziej obecność Ojca i Ducha Świętego podczas codzienności. Chwała Panu” (Agnieszka).</w:t>
      </w:r>
    </w:p>
    <w:p w:rsidR="00533473" w:rsidRDefault="00533473" w:rsidP="00EA7B5F">
      <w:r>
        <w:lastRenderedPageBreak/>
        <w:t>„Zrozumiałam, że w modlitwie każde wypowiadane słowo ma ogromną wagę i muszę zwracać większą uwagę na to, co mówię i jakie przesłanie niosą słowa. Dziękuję za zwrócenie uwagi na szczegóły” (Małgorzata).</w:t>
      </w:r>
    </w:p>
    <w:p w:rsidR="003C2A72" w:rsidRDefault="003C2A72" w:rsidP="00EA7B5F">
      <w:r>
        <w:t>„Dziękuję za ukazanie wspaniałych wskazówek w odmawianiu róża</w:t>
      </w:r>
      <w:r>
        <w:t>ń</w:t>
      </w:r>
      <w:r>
        <w:t>ca” (Maria).</w:t>
      </w:r>
    </w:p>
    <w:p w:rsidR="00EA7B5F" w:rsidRDefault="00533473" w:rsidP="00533473">
      <w:pPr>
        <w:pStyle w:val="Nagwek3"/>
      </w:pPr>
      <w:r>
        <w:t>Rekolekcje w Mszanie Dolnej</w:t>
      </w:r>
    </w:p>
    <w:p w:rsidR="00533473" w:rsidRPr="00533473" w:rsidRDefault="00533473" w:rsidP="00533473">
      <w:r>
        <w:t>Zapowiadane rekolekcje w Mszanie Dolnej, w parafii św. Michała A</w:t>
      </w:r>
      <w:r>
        <w:t>r</w:t>
      </w:r>
      <w:r>
        <w:t>chanioła odbędą się w dniach 21-23 sierpnia. Rozpoczęcie w piątek, 21 sierpnia</w:t>
      </w:r>
      <w:r w:rsidR="006F24CD">
        <w:t xml:space="preserve">: </w:t>
      </w:r>
      <w:r>
        <w:t xml:space="preserve">18.00 </w:t>
      </w:r>
      <w:r w:rsidR="006F24CD">
        <w:t xml:space="preserve">– spotkanie </w:t>
      </w:r>
      <w:r>
        <w:t xml:space="preserve">w Domu </w:t>
      </w:r>
      <w:r w:rsidR="006F24CD">
        <w:t xml:space="preserve">Parafialnym; </w:t>
      </w:r>
      <w:r>
        <w:t xml:space="preserve">19.00 </w:t>
      </w:r>
      <w:r w:rsidR="006F24CD">
        <w:t xml:space="preserve">– </w:t>
      </w:r>
      <w:r>
        <w:t xml:space="preserve">Msza Święta w kościele. </w:t>
      </w:r>
      <w:r w:rsidR="006F24CD">
        <w:t>W</w:t>
      </w:r>
      <w:r w:rsidR="00A618A9">
        <w:t xml:space="preserve"> sobotę </w:t>
      </w:r>
      <w:r w:rsidR="006F24CD">
        <w:t xml:space="preserve">spotkania </w:t>
      </w:r>
      <w:r w:rsidR="00A618A9">
        <w:t>rozpoczną się o godz. 9.00, a zakończą o 1</w:t>
      </w:r>
      <w:r w:rsidR="006F24CD">
        <w:t>6</w:t>
      </w:r>
      <w:r w:rsidR="00A618A9">
        <w:t>.</w:t>
      </w:r>
      <w:r w:rsidR="006F24CD">
        <w:t>3</w:t>
      </w:r>
      <w:r w:rsidR="00A618A9">
        <w:t xml:space="preserve">0. </w:t>
      </w:r>
      <w:r w:rsidR="006F24CD">
        <w:t>W</w:t>
      </w:r>
      <w:r w:rsidR="00A618A9">
        <w:t xml:space="preserve"> niedzielę, 23 sierpnia, rozpocz</w:t>
      </w:r>
      <w:r w:rsidR="006F24CD">
        <w:t>ęcie</w:t>
      </w:r>
      <w:r w:rsidR="00A618A9">
        <w:t xml:space="preserve"> o godz. 9.00</w:t>
      </w:r>
      <w:r w:rsidR="006F24CD">
        <w:t xml:space="preserve"> w Domu Par</w:t>
      </w:r>
      <w:r w:rsidR="006F24CD">
        <w:t>a</w:t>
      </w:r>
      <w:r w:rsidR="006F24CD">
        <w:t>fialnym</w:t>
      </w:r>
      <w:r w:rsidR="00A618A9">
        <w:t>, a zakończ</w:t>
      </w:r>
      <w:r w:rsidR="006F24CD">
        <w:t>enie</w:t>
      </w:r>
      <w:r w:rsidR="00A618A9">
        <w:t xml:space="preserve"> podczas Mszy Świętej parafialnej o godz. 11.00.</w:t>
      </w:r>
    </w:p>
    <w:p w:rsidR="00A618A9" w:rsidRDefault="00A618A9" w:rsidP="00EA7B5F">
      <w:r>
        <w:t xml:space="preserve">Rekolekcje będą miały charakter wprowadzenia w modlitwę różańcową, a szczególnie w ten sposób przeżywania tajemnic różańcowych, jaki jest praktykowany w Żywym Różańcu. Jest to „sztuka modlitwy”, którą trzeba </w:t>
      </w:r>
      <w:r w:rsidR="006F24CD">
        <w:t>stale opanowywać.</w:t>
      </w:r>
    </w:p>
    <w:p w:rsidR="006F24CD" w:rsidRPr="002C7305" w:rsidRDefault="006F24CD" w:rsidP="006F24CD">
      <w:r>
        <w:t xml:space="preserve">Na rekolekcje można się zgłaszać w kancelarii parafialnej w Mszanie Dolnej – tel.: 18/331-00-87 (od poniedziałku do piątku w godz. 9.00-11.00) lub w </w:t>
      </w:r>
      <w:r w:rsidRPr="002C7305">
        <w:t>Punk</w:t>
      </w:r>
      <w:r>
        <w:t>cie</w:t>
      </w:r>
      <w:r w:rsidRPr="002C7305">
        <w:t xml:space="preserve"> Informacyjny</w:t>
      </w:r>
      <w:r>
        <w:t>m</w:t>
      </w:r>
      <w:r w:rsidRPr="002C7305">
        <w:t xml:space="preserve"> przy Domu Duszpasterskim w Ł</w:t>
      </w:r>
      <w:r w:rsidRPr="002C7305">
        <w:t>a</w:t>
      </w:r>
      <w:r w:rsidRPr="002C7305">
        <w:t>giewnikach</w:t>
      </w:r>
      <w:r>
        <w:t xml:space="preserve"> – tel.:</w:t>
      </w:r>
      <w:r w:rsidRPr="002C7305">
        <w:t xml:space="preserve"> 12/252-33-11, w godz. 9.00-17.00).</w:t>
      </w:r>
      <w:r>
        <w:t xml:space="preserve"> Koszt</w:t>
      </w:r>
      <w:r w:rsidR="003C2A72">
        <w:t xml:space="preserve"> uczestnictwa</w:t>
      </w:r>
      <w:r>
        <w:t>: 15 zł.</w:t>
      </w:r>
    </w:p>
    <w:p w:rsidR="00A618A9" w:rsidRDefault="00A618A9" w:rsidP="00A618A9">
      <w:pPr>
        <w:pStyle w:val="Nagwek2"/>
      </w:pPr>
      <w:r>
        <w:t>VI Diecezjalna pielgrzymka Żywego Różańca</w:t>
      </w:r>
    </w:p>
    <w:p w:rsidR="00A618A9" w:rsidRDefault="00A618A9" w:rsidP="00A618A9">
      <w:r>
        <w:t>W tym roku będziemy przeżywać kolejną diecezjalną pielgrzymkę Ż</w:t>
      </w:r>
      <w:r>
        <w:t>y</w:t>
      </w:r>
      <w:r>
        <w:t>wego Różańca do Łagiewnik. Rozpoczniemy w sanktuarium św. Jana Pawła II</w:t>
      </w:r>
      <w:r w:rsidR="00B05FC7">
        <w:t xml:space="preserve"> o godz. 9.30</w:t>
      </w:r>
      <w:r>
        <w:t>, następnie przejdziemy modląc się do bazyliki mił</w:t>
      </w:r>
      <w:r>
        <w:t>o</w:t>
      </w:r>
      <w:r>
        <w:t xml:space="preserve">sierdzia Bożego, gdzie </w:t>
      </w:r>
      <w:r w:rsidR="00B05FC7">
        <w:t xml:space="preserve">o godz. 12.00 będzie </w:t>
      </w:r>
      <w:r>
        <w:t>sprawowana Eucharystia.</w:t>
      </w:r>
    </w:p>
    <w:p w:rsidR="00A618A9" w:rsidRDefault="00B05FC7" w:rsidP="00A618A9">
      <w:r>
        <w:t>Nastąpiła zmiana</w:t>
      </w:r>
      <w:bookmarkStart w:id="0" w:name="_GoBack"/>
      <w:bookmarkEnd w:id="0"/>
      <w:r>
        <w:t xml:space="preserve"> daty tej pielgrzymki. Była ona zapowiedziana na s</w:t>
      </w:r>
      <w:r>
        <w:t>o</w:t>
      </w:r>
      <w:r>
        <w:t xml:space="preserve">botę 26 września, ale ten termin jest nieaktualny. Pielgrzymka odbędzie się w sobotę, </w:t>
      </w:r>
      <w:r w:rsidR="004F28C6">
        <w:t>3</w:t>
      </w:r>
      <w:r>
        <w:t xml:space="preserve"> października. Do parafii zostaną przesłane plakaty z potrze</w:t>
      </w:r>
      <w:r>
        <w:t>b</w:t>
      </w:r>
      <w:r>
        <w:t>nymi informacjami.</w:t>
      </w:r>
    </w:p>
    <w:p w:rsidR="00B05FC7" w:rsidRDefault="00B05FC7" w:rsidP="00A618A9">
      <w:r>
        <w:t>W pielgrzymce wezmą udział wolontariusze Światowych Dni Młodzi</w:t>
      </w:r>
      <w:r>
        <w:t>e</w:t>
      </w:r>
      <w:r>
        <w:t>ży. Będziemy się modlić także w tej intencji, aby ludzie młodzi odkryli znaczenie modlitwy różańcowej i praktykowali ją w swoim życiu.</w:t>
      </w:r>
    </w:p>
    <w:p w:rsidR="00B05FC7" w:rsidRPr="00A618A9" w:rsidRDefault="00B05FC7" w:rsidP="00A618A9">
      <w:r>
        <w:t>Chcemy również w czasie pielgrzymki zwrócić uwagę na dziecięce wspólnoty Żywego Różańca. Zwracamy się do wszystkich parafii, w kt</w:t>
      </w:r>
      <w:r>
        <w:t>ó</w:t>
      </w:r>
      <w:r>
        <w:t>rych takie grupy istnieją o udział przynajmniej w końcowej części pie</w:t>
      </w:r>
      <w:r>
        <w:t>l</w:t>
      </w:r>
      <w:r>
        <w:lastRenderedPageBreak/>
        <w:t xml:space="preserve">grzymki, czyli Eucharystii w bazylice Miłosierdzia Bożego o godz. 12.00 oraz adoracji Najświętszego Sakramentu, którą przeżyjemy zaraz po Mszy Świętej. Tę adorację poprowadzą dzieci należące do Żywego Różańca. </w:t>
      </w:r>
    </w:p>
    <w:p w:rsidR="00305555" w:rsidRDefault="00305555" w:rsidP="008A08B2">
      <w:pPr>
        <w:pStyle w:val="Nagwek2"/>
      </w:pPr>
      <w:r>
        <w:t>Świadectwa zelatorów</w:t>
      </w:r>
    </w:p>
    <w:p w:rsidR="00305555" w:rsidRPr="00915FCC" w:rsidRDefault="00305555" w:rsidP="00305555">
      <w:pPr>
        <w:rPr>
          <w:i/>
        </w:rPr>
      </w:pPr>
      <w:r w:rsidRPr="00915FCC">
        <w:rPr>
          <w:i/>
        </w:rPr>
        <w:t>Do redakcji „Zelatora” dotarło pierwsze świadectwo o posłudze zel</w:t>
      </w:r>
      <w:r w:rsidRPr="00915FCC">
        <w:rPr>
          <w:i/>
        </w:rPr>
        <w:t>a</w:t>
      </w:r>
      <w:r w:rsidRPr="00915FCC">
        <w:rPr>
          <w:i/>
        </w:rPr>
        <w:t xml:space="preserve">torki w parafii. Zachęcamy </w:t>
      </w:r>
      <w:r w:rsidR="00915FCC">
        <w:rPr>
          <w:i/>
        </w:rPr>
        <w:t xml:space="preserve">innych </w:t>
      </w:r>
      <w:r w:rsidRPr="00915FCC">
        <w:rPr>
          <w:i/>
        </w:rPr>
        <w:t>do dzielenia się swoimi przeżyciami.</w:t>
      </w:r>
    </w:p>
    <w:p w:rsidR="00915FCC" w:rsidRDefault="00305555" w:rsidP="007015DB">
      <w:pPr>
        <w:spacing w:before="120"/>
      </w:pPr>
      <w:r>
        <w:t xml:space="preserve">„Należę w parafii do Żywego Różańca od 1990 roku. Wstąpienie do Koła zaproponowała mi znajoma w drodze do kościoła. Nieco zdziwiona tą propozycją zgodziłam się. Pomyślałam wówczas; co mi szkodzi, spróbuję. Od tego czasu odmawiałam „Dziesiątki” w drodze do pracy, niekiedy w kościele po Mszy św. </w:t>
      </w:r>
      <w:r w:rsidR="00915FCC">
        <w:t>Pierwsze soboty w tym okresie nie były jeszcze tak rozpowszechnione, ale «zmianki» odbywały się. Ja, jako kobieta pracująca, rzadko w nich uczestniczyłam. Lecz pewnej soboty coś się zmieniło. Oto kiedy zamierzałam wstać i wyjść</w:t>
      </w:r>
      <w:r w:rsidR="007015DB">
        <w:t>, coś mnie «uziemiło. Skierowałam wzrok na figurę Matki Bożej Niepokalanej i zobaczyłam cienki promień światła, taką smugę, która do mnie «biegła». Zrozumiałam, że mam zostać i modlić się wspólnie na różańcu. Od tamtej chwili starałam się systematycznie uczestniczyć w modlitwie różańcowej.</w:t>
      </w:r>
    </w:p>
    <w:p w:rsidR="00915FCC" w:rsidRDefault="00305555" w:rsidP="00305555">
      <w:r>
        <w:t>Pełnienie funkcji zelatorki zaproponowała mi jeszcze żyjąca wówczas zelatorka, gdyż nie czuła się na siłach, by nas dalej prowadzić. Był wtedy rok 1994. Zelatorka odeszła do Pana w 1999 r. Uczestniczyłam w jej p</w:t>
      </w:r>
      <w:r>
        <w:t>o</w:t>
      </w:r>
      <w:r>
        <w:t>grzebie. Zawsze żegnamy odchodzących z tego świata.</w:t>
      </w:r>
      <w:r w:rsidR="00915FCC">
        <w:t xml:space="preserve"> Zamawiam Mszę św. w ich intencji, jak również w intencji Żywych Róż [...]. </w:t>
      </w:r>
    </w:p>
    <w:p w:rsidR="00305555" w:rsidRDefault="00915FCC" w:rsidP="00305555">
      <w:r>
        <w:t>Nowe członkinie «zdobywam» wśród okolicznych mieszkańców, wśród znajomych z kościoła. Przykrość odczuwam, gdy odmawiają i mówią: «Ja się modlę w domu, nie muszę należeć». Nie zrażam się. Pukam dalej do innego serca, aby Róża była pełna, aby nie zwiędła. Staram się odmłodzić moją Różę nabywając coraz młodsze członkinie i to daje mi satysfakcję i nadzieję, że Róża przetrwa dalsze lata [...]. Jestem wdzięczną dłużniczką Matki Bożej za łaskę, jaką mi okazała, że zechciała mnie widzieć i mieć w szeregach swoich czcicieli i zelatorek. Oby jej chwała pomnażała się, a Żywa Róża nadal rozwijała!” (zelatorka Krystyna)</w:t>
      </w:r>
      <w:r w:rsidR="006F24CD">
        <w:t>.</w:t>
      </w:r>
    </w:p>
    <w:p w:rsidR="00305555" w:rsidRDefault="00305555" w:rsidP="003055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8"/>
      </w:tblGrid>
      <w:tr w:rsidR="003C2A72" w:rsidTr="003C2A72">
        <w:tc>
          <w:tcPr>
            <w:tcW w:w="7398" w:type="dxa"/>
          </w:tcPr>
          <w:p w:rsidR="003C2A72" w:rsidRDefault="003C2A72" w:rsidP="003C2A72">
            <w:pPr>
              <w:ind w:firstLine="0"/>
            </w:pPr>
            <w:r>
              <w:t>Adres do korespondencji: „Żywy Różaniec”, Kuria Metropolitalna, ul. Franciszkańska 3, 31-004 Kraków. Redaktor: Ks. Stanisław Szczepaniec</w:t>
            </w:r>
          </w:p>
        </w:tc>
      </w:tr>
    </w:tbl>
    <w:p w:rsidR="003C2A72" w:rsidRPr="00305555" w:rsidRDefault="003C2A72" w:rsidP="003C2A72">
      <w:pPr>
        <w:ind w:firstLine="0"/>
      </w:pPr>
    </w:p>
    <w:sectPr w:rsidR="003C2A72" w:rsidRPr="00305555" w:rsidSect="00E8561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F3" w:rsidRDefault="001452F3" w:rsidP="004F49A6">
      <w:r>
        <w:separator/>
      </w:r>
    </w:p>
  </w:endnote>
  <w:endnote w:type="continuationSeparator" w:id="0">
    <w:p w:rsidR="001452F3" w:rsidRDefault="001452F3" w:rsidP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F3" w:rsidRDefault="001452F3" w:rsidP="004F49A6">
      <w:r>
        <w:separator/>
      </w:r>
    </w:p>
  </w:footnote>
  <w:footnote w:type="continuationSeparator" w:id="0">
    <w:p w:rsidR="001452F3" w:rsidRDefault="001452F3" w:rsidP="004F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9"/>
    <w:rsid w:val="000648C8"/>
    <w:rsid w:val="00110CA7"/>
    <w:rsid w:val="001452F3"/>
    <w:rsid w:val="001D1C15"/>
    <w:rsid w:val="00265F7E"/>
    <w:rsid w:val="002C7305"/>
    <w:rsid w:val="00305555"/>
    <w:rsid w:val="003222CF"/>
    <w:rsid w:val="003A5EF5"/>
    <w:rsid w:val="003C2A72"/>
    <w:rsid w:val="003D357B"/>
    <w:rsid w:val="00466837"/>
    <w:rsid w:val="004C0108"/>
    <w:rsid w:val="004F28C6"/>
    <w:rsid w:val="004F49A6"/>
    <w:rsid w:val="0051223A"/>
    <w:rsid w:val="00533473"/>
    <w:rsid w:val="005E7261"/>
    <w:rsid w:val="0063086E"/>
    <w:rsid w:val="006F24CD"/>
    <w:rsid w:val="006F3178"/>
    <w:rsid w:val="007015DB"/>
    <w:rsid w:val="007F26C6"/>
    <w:rsid w:val="008A08B2"/>
    <w:rsid w:val="008E7CEC"/>
    <w:rsid w:val="00915FCC"/>
    <w:rsid w:val="009200FA"/>
    <w:rsid w:val="00A27681"/>
    <w:rsid w:val="00A41BAB"/>
    <w:rsid w:val="00A46FE2"/>
    <w:rsid w:val="00A618A9"/>
    <w:rsid w:val="00AD3EA7"/>
    <w:rsid w:val="00B05FC7"/>
    <w:rsid w:val="00B240C8"/>
    <w:rsid w:val="00BF75E5"/>
    <w:rsid w:val="00C45CCC"/>
    <w:rsid w:val="00D53F9C"/>
    <w:rsid w:val="00E10E59"/>
    <w:rsid w:val="00E85619"/>
    <w:rsid w:val="00E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41BAB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BAB"/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200FA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1BAB"/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styleId="Hipercze">
    <w:name w:val="Hyperlink"/>
    <w:basedOn w:val="Domylnaczcionkaakapitu"/>
    <w:rsid w:val="00E85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9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9A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9A6"/>
    <w:rPr>
      <w:vertAlign w:val="superscript"/>
    </w:rPr>
  </w:style>
  <w:style w:type="table" w:styleId="Tabela-Siatka">
    <w:name w:val="Table Grid"/>
    <w:basedOn w:val="Standardowy"/>
    <w:uiPriority w:val="59"/>
    <w:rsid w:val="003C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41BAB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BAB"/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200FA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1BAB"/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styleId="Hipercze">
    <w:name w:val="Hyperlink"/>
    <w:basedOn w:val="Domylnaczcionkaakapitu"/>
    <w:rsid w:val="00E85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9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9A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9A6"/>
    <w:rPr>
      <w:vertAlign w:val="superscript"/>
    </w:rPr>
  </w:style>
  <w:style w:type="table" w:styleId="Tabela-Siatka">
    <w:name w:val="Table Grid"/>
    <w:basedOn w:val="Standardowy"/>
    <w:uiPriority w:val="59"/>
    <w:rsid w:val="003C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246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6</cp:revision>
  <cp:lastPrinted>2015-03-18T10:40:00Z</cp:lastPrinted>
  <dcterms:created xsi:type="dcterms:W3CDTF">2015-06-23T08:24:00Z</dcterms:created>
  <dcterms:modified xsi:type="dcterms:W3CDTF">2015-07-07T20:29:00Z</dcterms:modified>
</cp:coreProperties>
</file>